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DC14" w14:textId="77777777" w:rsidR="00967E37" w:rsidRDefault="00303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Ключевой информационный документ (КИД) </w:t>
      </w:r>
    </w:p>
    <w:p w14:paraId="5277BAFD" w14:textId="77777777" w:rsidR="00967E37" w:rsidRDefault="00303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обязательному пенсионному страхованию (ОПС)</w:t>
      </w:r>
    </w:p>
    <w:p w14:paraId="564D5FF0" w14:textId="77777777" w:rsidR="00967E37" w:rsidRDefault="00303F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Акционерного общества «Негосударственный пенсионный фонд «Ростех»</w:t>
      </w:r>
    </w:p>
    <w:p w14:paraId="716666D5" w14:textId="77777777" w:rsidR="00967E37" w:rsidRDefault="00967E3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83E1C2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документ является ключевым информационным документом по информированию получателя финансовых услуг о негосударственном пенсионном фонде АО «НПФ «Ростех» (далее – Фонд), предоставляющем услугу по обязательному пенсионному страхованию, ее сущности, стоимости и основных рисках. </w:t>
      </w:r>
    </w:p>
    <w:p w14:paraId="5E788400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Данный документ не является рекламным материалом.</w:t>
      </w:r>
    </w:p>
    <w:p w14:paraId="506CDA81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Информация о поставщике финансовой услуги – негосударственном пенсионном фонде</w:t>
      </w:r>
    </w:p>
    <w:p w14:paraId="7B075862" w14:textId="77777777" w:rsidR="00967E37" w:rsidRDefault="00303F78">
      <w:pPr>
        <w:pStyle w:val="af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Акционерное общество «Негосударственный пенсионный фонд «Ростех» (АО «НПФ «Ростех»).</w:t>
      </w:r>
    </w:p>
    <w:p w14:paraId="63D6996A" w14:textId="77777777" w:rsidR="00967E37" w:rsidRDefault="00303F78">
      <w:pPr>
        <w:pStyle w:val="af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1156313047087; ИНН 6321391646; лицензия № 169/2 от 02.08.2005 без ограничения срока действия.</w:t>
      </w:r>
    </w:p>
    <w:p w14:paraId="3AC8746A" w14:textId="77777777" w:rsidR="00967E37" w:rsidRDefault="00303F78">
      <w:pPr>
        <w:pStyle w:val="af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подразделениях Фонда, где можно получить подробную информацию о Фонде и ознакомиться с уставом, страховыми правилами Фонда, а также с иными документами, предусмотренными Федеральным законом от 07.05.1998 № 75-ФЗ «О негосударственных пенсионных фондах» и нормативными актами Банка России:</w:t>
      </w:r>
    </w:p>
    <w:p w14:paraId="3726D87B" w14:textId="77777777" w:rsidR="00967E37" w:rsidRDefault="00303F78">
      <w:pPr>
        <w:pStyle w:val="af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офис обслуживания клиентов Фонда в г. Тольятти: г. Тольятти, ул. Фрунзе, д. 24; тел.: 8 (8482) 38-89-15;</w:t>
      </w:r>
    </w:p>
    <w:p w14:paraId="684BB595" w14:textId="77777777" w:rsidR="00967E37" w:rsidRDefault="00303F78">
      <w:pPr>
        <w:pStyle w:val="af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офис обслуживания клиентов Фонда в г. </w:t>
      </w:r>
      <w:proofErr w:type="spellStart"/>
      <w:r>
        <w:rPr>
          <w:rFonts w:ascii="Arial" w:hAnsi="Arial" w:cs="Arial"/>
          <w:sz w:val="20"/>
          <w:szCs w:val="20"/>
          <w:highlight w:val="white"/>
        </w:rPr>
        <w:t>Ростове</w:t>
      </w:r>
      <w:proofErr w:type="spellEnd"/>
      <w:r>
        <w:rPr>
          <w:rFonts w:ascii="Arial" w:hAnsi="Arial" w:cs="Arial"/>
          <w:sz w:val="20"/>
          <w:szCs w:val="20"/>
          <w:highlight w:val="white"/>
        </w:rPr>
        <w:t xml:space="preserve">-на-Дону: г. </w:t>
      </w:r>
      <w:proofErr w:type="spellStart"/>
      <w:r>
        <w:rPr>
          <w:rFonts w:ascii="Arial" w:hAnsi="Arial" w:cs="Arial"/>
          <w:sz w:val="20"/>
          <w:szCs w:val="20"/>
        </w:rPr>
        <w:t>Ростов</w:t>
      </w:r>
      <w:proofErr w:type="spellEnd"/>
      <w:r>
        <w:rPr>
          <w:rFonts w:ascii="Arial" w:hAnsi="Arial" w:cs="Arial"/>
          <w:sz w:val="20"/>
          <w:szCs w:val="20"/>
        </w:rPr>
        <w:t>-на-Дону, ул. Новаторов, д. 3Б;</w:t>
      </w:r>
      <w:r>
        <w:rPr>
          <w:rFonts w:ascii="Arial" w:hAnsi="Arial" w:cs="Arial"/>
          <w:sz w:val="20"/>
          <w:szCs w:val="20"/>
        </w:rPr>
        <w:br/>
        <w:t>тел.: 8 (863) 333-99-15;</w:t>
      </w:r>
    </w:p>
    <w:p w14:paraId="3B81F93C" w14:textId="19EACCBC" w:rsidR="00967E37" w:rsidRDefault="00303F78">
      <w:pPr>
        <w:pStyle w:val="af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офис обслуживания клиентов Фонда в г. Казан</w:t>
      </w:r>
      <w:r w:rsidR="000A2BAD">
        <w:rPr>
          <w:rFonts w:ascii="Arial" w:hAnsi="Arial" w:cs="Arial"/>
          <w:sz w:val="20"/>
          <w:szCs w:val="20"/>
          <w:highlight w:val="white"/>
        </w:rPr>
        <w:t>и</w:t>
      </w:r>
      <w:r>
        <w:rPr>
          <w:rFonts w:ascii="Arial" w:hAnsi="Arial" w:cs="Arial"/>
          <w:sz w:val="20"/>
          <w:szCs w:val="20"/>
          <w:highlight w:val="white"/>
        </w:rPr>
        <w:t>: г. Казань, ул. Вишневского, д. 2Е;</w:t>
      </w:r>
      <w:r>
        <w:rPr>
          <w:rFonts w:ascii="Arial" w:hAnsi="Arial" w:cs="Arial"/>
          <w:sz w:val="20"/>
          <w:szCs w:val="20"/>
          <w:highlight w:val="white"/>
        </w:rPr>
        <w:br/>
        <w:t>тел: 8 (843) 236-00-17; 8 (843) 236-00-18;</w:t>
      </w:r>
    </w:p>
    <w:p w14:paraId="0443400D" w14:textId="77777777" w:rsidR="00967E37" w:rsidRDefault="00303F78">
      <w:pPr>
        <w:pStyle w:val="af5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офис обслуживания клиентов Фонда в г. Набережные Челны: г. Набережные Челны,</w:t>
      </w:r>
      <w:r>
        <w:rPr>
          <w:rFonts w:ascii="Arial" w:hAnsi="Arial" w:cs="Arial"/>
          <w:sz w:val="20"/>
          <w:szCs w:val="20"/>
          <w:highlight w:val="white"/>
        </w:rPr>
        <w:br/>
        <w:t>ул. Академика Рубаненко, д. 6; тел: 8 (8552) 39-23-51.</w:t>
      </w:r>
    </w:p>
    <w:p w14:paraId="22FCF09E" w14:textId="414E6362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официального сайта</w:t>
      </w:r>
      <w:r w:rsidR="00E973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hyperlink w:history="1">
        <w:r>
          <w:rPr>
            <w:rStyle w:val="af4"/>
            <w:rFonts w:ascii="Arial" w:hAnsi="Arial" w:cs="Arial"/>
            <w:sz w:val="20"/>
            <w:szCs w:val="20"/>
          </w:rPr>
          <w:t>www.rostecnpf.ru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5CA79239" w14:textId="77478635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</w:t>
      </w:r>
      <w:r w:rsidR="00E973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w:history="1">
        <w:r>
          <w:rPr>
            <w:rStyle w:val="af4"/>
            <w:rFonts w:ascii="Arial" w:hAnsi="Arial" w:cs="Arial"/>
            <w:sz w:val="20"/>
            <w:szCs w:val="20"/>
          </w:rPr>
          <w:t>info@rostecnpf.ru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3A170B9" w14:textId="77777777" w:rsidR="00967E37" w:rsidRDefault="00303F78">
      <w:pPr>
        <w:pStyle w:val="af5"/>
        <w:spacing w:after="0" w:line="360" w:lineRule="auto"/>
        <w:ind w:left="0" w:firstLine="709"/>
        <w:jc w:val="center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</w:rPr>
        <w:t>Потенциальные получатели финансовой услуги</w:t>
      </w:r>
    </w:p>
    <w:p w14:paraId="036E1EC9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Получателями финансовой услуги могут стать застрахованные лица, определяемые в соответствии с законодательством Российской Федерации.</w:t>
      </w:r>
    </w:p>
    <w:p w14:paraId="329FB3A0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Наименование и тип предоставляемой услуги</w:t>
      </w:r>
    </w:p>
    <w:p w14:paraId="33BADA37" w14:textId="77777777" w:rsidR="00967E37" w:rsidRDefault="00303F78">
      <w:pPr>
        <w:spacing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Обязательное пенсионное страхование.</w:t>
      </w:r>
    </w:p>
    <w:p w14:paraId="225248B3" w14:textId="50B1C1AA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договором об обязательном пенсионном страховании (далее – договор об ОПС) Фонд обязан при наступлении пенсионных оснований осуществлять назначение и выплату застрахованному лицу </w:t>
      </w:r>
      <w:r>
        <w:rPr>
          <w:rFonts w:ascii="Arial" w:hAnsi="Arial" w:cs="Arial"/>
          <w:bCs/>
          <w:sz w:val="20"/>
          <w:szCs w:val="20"/>
        </w:rPr>
        <w:t xml:space="preserve">накопительной пенсии </w:t>
      </w:r>
      <w:r>
        <w:rPr>
          <w:rFonts w:ascii="Arial" w:hAnsi="Arial" w:cs="Arial"/>
          <w:sz w:val="20"/>
          <w:szCs w:val="20"/>
        </w:rPr>
        <w:t xml:space="preserve">и (или) </w:t>
      </w:r>
      <w:r>
        <w:rPr>
          <w:rFonts w:ascii="Arial" w:hAnsi="Arial" w:cs="Arial"/>
          <w:bCs/>
          <w:sz w:val="20"/>
          <w:szCs w:val="20"/>
        </w:rPr>
        <w:t xml:space="preserve">срочной пенсионной выплаты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bCs/>
          <w:sz w:val="20"/>
          <w:szCs w:val="20"/>
        </w:rPr>
        <w:t xml:space="preserve">единовременной выплаты </w:t>
      </w:r>
      <w:r>
        <w:rPr>
          <w:rFonts w:ascii="Arial" w:hAnsi="Arial" w:cs="Arial"/>
          <w:sz w:val="20"/>
          <w:szCs w:val="20"/>
        </w:rPr>
        <w:t xml:space="preserve">либо осуществить </w:t>
      </w:r>
      <w:r>
        <w:rPr>
          <w:rFonts w:ascii="Arial" w:hAnsi="Arial" w:cs="Arial"/>
          <w:bCs/>
          <w:sz w:val="20"/>
          <w:szCs w:val="20"/>
        </w:rPr>
        <w:t xml:space="preserve">выплаты правопреемникам </w:t>
      </w:r>
      <w:r>
        <w:rPr>
          <w:rFonts w:ascii="Arial" w:hAnsi="Arial" w:cs="Arial"/>
          <w:sz w:val="20"/>
          <w:szCs w:val="20"/>
        </w:rPr>
        <w:t>застрахованного лица. Перевод средств пенсионных накоплений к другому страховщику по обязательному пенсионному страхованию</w:t>
      </w:r>
      <w:r w:rsidR="00E97388">
        <w:rPr>
          <w:rFonts w:ascii="Arial" w:hAnsi="Arial" w:cs="Arial"/>
          <w:sz w:val="20"/>
          <w:szCs w:val="20"/>
        </w:rPr>
        <w:t xml:space="preserve"> −</w:t>
      </w:r>
      <w:r>
        <w:rPr>
          <w:rFonts w:ascii="Arial" w:hAnsi="Arial" w:cs="Arial"/>
          <w:sz w:val="20"/>
          <w:szCs w:val="20"/>
        </w:rPr>
        <w:t xml:space="preserve"> негосударственный пенсионный фонд (далее – НПФ) или Фонд пенсионного и социального страхования Российской Федерации (далее – Социальный фонд России, СФР)</w:t>
      </w:r>
      <w:r w:rsidR="00E97388">
        <w:rPr>
          <w:rFonts w:ascii="Arial" w:hAnsi="Arial" w:cs="Arial"/>
          <w:sz w:val="20"/>
          <w:szCs w:val="20"/>
        </w:rPr>
        <w:t xml:space="preserve"> − </w:t>
      </w:r>
      <w:r>
        <w:rPr>
          <w:rFonts w:ascii="Arial" w:hAnsi="Arial" w:cs="Arial"/>
          <w:sz w:val="20"/>
          <w:szCs w:val="20"/>
        </w:rPr>
        <w:t>осуществляется в следующем порядке:</w:t>
      </w:r>
    </w:p>
    <w:p w14:paraId="49BBB0E7" w14:textId="77777777" w:rsidR="00967E37" w:rsidRDefault="00303F78">
      <w:pPr>
        <w:tabs>
          <w:tab w:val="left" w:pos="993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В Социальный фонд России: необходимо подать в СФР заявление застрахованного лица </w:t>
      </w:r>
      <w:r>
        <w:rPr>
          <w:rFonts w:ascii="Arial" w:hAnsi="Arial" w:cs="Arial"/>
          <w:sz w:val="20"/>
          <w:szCs w:val="20"/>
        </w:rPr>
        <w:br/>
        <w:t>о переходе (заявление застрахованного лица о досрочном переходе).</w:t>
      </w:r>
    </w:p>
    <w:p w14:paraId="407E5866" w14:textId="77777777" w:rsidR="00967E37" w:rsidRDefault="00303F78">
      <w:pPr>
        <w:tabs>
          <w:tab w:val="left" w:pos="993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В другой НПФ: необходимо заключить с этим НПФ договор об ОПС и подать в СФР заявление застрахованного лица о переходе (заявление застрахованного лица о досрочном переходе).</w:t>
      </w:r>
    </w:p>
    <w:p w14:paraId="4A1209A9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застрахованного лица о переходе (заявление застрахованного лица о досрочном переходе) подается застрахованным лицом в СФР не позднее 1 декабря текущего года.</w:t>
      </w:r>
    </w:p>
    <w:p w14:paraId="3109729C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Специфика (особенности) услуги</w:t>
      </w:r>
    </w:p>
    <w:p w14:paraId="527E98D2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Обращаться за назначением выплат за счет средств пенсионных накоплений необходимо </w:t>
      </w:r>
      <w:r>
        <w:rPr>
          <w:rFonts w:ascii="Arial" w:hAnsi="Arial" w:cs="Arial"/>
          <w:bCs/>
          <w:sz w:val="20"/>
          <w:szCs w:val="20"/>
        </w:rPr>
        <w:t xml:space="preserve">только при наступлении пенсионных оснований </w:t>
      </w:r>
      <w:r>
        <w:rPr>
          <w:rFonts w:ascii="Arial" w:hAnsi="Arial" w:cs="Arial"/>
          <w:sz w:val="20"/>
          <w:szCs w:val="20"/>
        </w:rPr>
        <w:t>для соответствующего вида выплаты.</w:t>
      </w:r>
    </w:p>
    <w:p w14:paraId="5DB99B6F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Законодательством Российской Федерации предусмотрена вероятность получения Фондом </w:t>
      </w:r>
      <w:r>
        <w:rPr>
          <w:rFonts w:ascii="Arial" w:hAnsi="Arial" w:cs="Arial"/>
          <w:bCs/>
          <w:sz w:val="20"/>
          <w:szCs w:val="20"/>
        </w:rPr>
        <w:t xml:space="preserve">отрицательного результата </w:t>
      </w:r>
      <w:r>
        <w:rPr>
          <w:rFonts w:ascii="Arial" w:hAnsi="Arial" w:cs="Arial"/>
          <w:sz w:val="20"/>
          <w:szCs w:val="20"/>
        </w:rPr>
        <w:t xml:space="preserve">при инвестировании средств пенсионных накоплений по итогам одного </w:t>
      </w:r>
      <w:r>
        <w:rPr>
          <w:rFonts w:ascii="Arial" w:hAnsi="Arial" w:cs="Arial"/>
          <w:bCs/>
          <w:sz w:val="20"/>
          <w:szCs w:val="20"/>
        </w:rPr>
        <w:t>календарного года</w:t>
      </w:r>
      <w:r>
        <w:rPr>
          <w:rFonts w:ascii="Arial" w:hAnsi="Arial" w:cs="Arial"/>
          <w:sz w:val="20"/>
          <w:szCs w:val="20"/>
        </w:rPr>
        <w:t xml:space="preserve">. Не допускается отражение отрицательного результата инвестирования </w:t>
      </w:r>
      <w:r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периода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кратного пяти годам с года вступления в силу </w:t>
      </w:r>
      <w:r>
        <w:rPr>
          <w:rFonts w:ascii="Arial" w:hAnsi="Arial" w:cs="Arial"/>
          <w:sz w:val="20"/>
          <w:szCs w:val="20"/>
        </w:rPr>
        <w:t>договора об ОПС.</w:t>
      </w:r>
    </w:p>
    <w:p w14:paraId="348CE7C9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bCs/>
          <w:sz w:val="20"/>
          <w:szCs w:val="20"/>
        </w:rPr>
        <w:t xml:space="preserve">Обращаться </w:t>
      </w:r>
      <w:r>
        <w:rPr>
          <w:rFonts w:ascii="Arial" w:hAnsi="Arial" w:cs="Arial"/>
          <w:sz w:val="20"/>
          <w:szCs w:val="20"/>
        </w:rPr>
        <w:t xml:space="preserve">за выплатой средств пенсионных накоплений </w:t>
      </w:r>
      <w:r>
        <w:rPr>
          <w:rFonts w:ascii="Arial" w:hAnsi="Arial" w:cs="Arial"/>
          <w:bCs/>
          <w:sz w:val="20"/>
          <w:szCs w:val="20"/>
        </w:rPr>
        <w:t xml:space="preserve">умершего </w:t>
      </w:r>
      <w:r>
        <w:rPr>
          <w:rFonts w:ascii="Arial" w:hAnsi="Arial" w:cs="Arial"/>
          <w:sz w:val="20"/>
          <w:szCs w:val="20"/>
        </w:rPr>
        <w:t xml:space="preserve">застрахованного лица необходимо </w:t>
      </w:r>
      <w:r>
        <w:rPr>
          <w:rFonts w:ascii="Arial" w:hAnsi="Arial" w:cs="Arial"/>
          <w:bCs/>
          <w:sz w:val="20"/>
          <w:szCs w:val="20"/>
        </w:rPr>
        <w:t xml:space="preserve">до истечения 6 месяцев </w:t>
      </w:r>
      <w:r>
        <w:rPr>
          <w:rFonts w:ascii="Arial" w:hAnsi="Arial" w:cs="Arial"/>
          <w:sz w:val="20"/>
          <w:szCs w:val="20"/>
        </w:rPr>
        <w:t>с даты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смерти застрахованного лица.</w:t>
      </w:r>
    </w:p>
    <w:p w14:paraId="1CA4EA88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Прекращение действия договора об ОПС</w:t>
      </w:r>
    </w:p>
    <w:p w14:paraId="7DC61515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 об ОПС прекращается в случае перехода в СФР или другой НПФ, в случае полного исполнения Фондом своих обязательств, а также при наступлении непредвиденных обстоятельств (Фонд лишился лицензии, или признан банкротом, или Банк России ввел запрет на осуществление Фондом операций по ОПС) либо смерти застрахованного лица. </w:t>
      </w:r>
      <w:r>
        <w:rPr>
          <w:rFonts w:ascii="Arial" w:hAnsi="Arial" w:cs="Arial"/>
          <w:bCs/>
          <w:sz w:val="20"/>
          <w:szCs w:val="20"/>
        </w:rPr>
        <w:t xml:space="preserve">Расторжение </w:t>
      </w:r>
      <w:r>
        <w:rPr>
          <w:rFonts w:ascii="Arial" w:hAnsi="Arial" w:cs="Arial"/>
          <w:sz w:val="20"/>
          <w:szCs w:val="20"/>
        </w:rPr>
        <w:t xml:space="preserve">договора об ОПС исключительно по </w:t>
      </w:r>
      <w:r>
        <w:rPr>
          <w:rFonts w:ascii="Arial" w:hAnsi="Arial" w:cs="Arial"/>
          <w:bCs/>
          <w:sz w:val="20"/>
          <w:szCs w:val="20"/>
        </w:rPr>
        <w:t xml:space="preserve">волеизъявлению </w:t>
      </w:r>
      <w:r>
        <w:rPr>
          <w:rFonts w:ascii="Arial" w:hAnsi="Arial" w:cs="Arial"/>
          <w:sz w:val="20"/>
          <w:szCs w:val="20"/>
        </w:rPr>
        <w:t xml:space="preserve">застрахованного лица законодательством Российской Федерации </w:t>
      </w:r>
      <w:r>
        <w:rPr>
          <w:rFonts w:ascii="Arial" w:hAnsi="Arial" w:cs="Arial"/>
          <w:bCs/>
          <w:sz w:val="20"/>
          <w:szCs w:val="20"/>
        </w:rPr>
        <w:t>не предусмотрено.</w:t>
      </w:r>
    </w:p>
    <w:p w14:paraId="3323B0E1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Сборы и платежи, которые подлежат уплате получателем услуги</w:t>
      </w:r>
    </w:p>
    <w:p w14:paraId="7B457117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Застрахованное лицо не осуществляет уплату каких-либо сборов и платежей по договору об ОПС.</w:t>
      </w:r>
    </w:p>
    <w:p w14:paraId="321078E4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5318713"/>
      <w:r>
        <w:rPr>
          <w:rFonts w:ascii="Arial" w:hAnsi="Arial" w:cs="Arial"/>
          <w:b/>
          <w:bCs/>
          <w:sz w:val="20"/>
          <w:szCs w:val="20"/>
        </w:rPr>
        <w:t>Гарантирование пенсионных накоплений</w:t>
      </w:r>
    </w:p>
    <w:p w14:paraId="3CFA8E48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Законодательством Российской Федерации предусмотрена система сохранности пенсионных накоплений. </w:t>
      </w:r>
      <w:r>
        <w:rPr>
          <w:rFonts w:ascii="Arial" w:hAnsi="Arial" w:cs="Arial"/>
          <w:color w:val="000000"/>
          <w:sz w:val="20"/>
          <w:szCs w:val="20"/>
        </w:rPr>
        <w:t>Фонд</w:t>
      </w:r>
      <w:r>
        <w:rPr>
          <w:rFonts w:ascii="Arial" w:hAnsi="Arial" w:cs="Arial"/>
          <w:sz w:val="20"/>
          <w:szCs w:val="20"/>
        </w:rPr>
        <w:t xml:space="preserve"> включен в реестр негосударственных пенсионных фондов – участников системы гарантирования прав застрахованных лиц в системе обязательного пенсионного страхования.</w:t>
      </w:r>
      <w:bookmarkEnd w:id="0"/>
    </w:p>
    <w:p w14:paraId="7331369F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 приема обращений застрахованных лиц</w:t>
      </w:r>
    </w:p>
    <w:p w14:paraId="42096321" w14:textId="77777777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Обращения застрахованных лиц в Фонд могут быть направлены:</w:t>
      </w:r>
    </w:p>
    <w:p w14:paraId="7D2CBC15" w14:textId="2420AD8A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 электронной почте</w:t>
      </w:r>
      <w:r w:rsidR="00A30FEA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tooltip="mailto:info@rostecnpf.ru" w:history="1">
        <w:r>
          <w:rPr>
            <w:rStyle w:val="af4"/>
            <w:rFonts w:ascii="Arial" w:hAnsi="Arial" w:cs="Arial"/>
            <w:sz w:val="20"/>
            <w:szCs w:val="20"/>
            <w:lang w:val="en-US"/>
          </w:rPr>
          <w:t>info</w:t>
        </w:r>
        <w:r>
          <w:rPr>
            <w:rStyle w:val="af4"/>
            <w:rFonts w:ascii="Arial" w:hAnsi="Arial" w:cs="Arial"/>
            <w:sz w:val="20"/>
            <w:szCs w:val="20"/>
          </w:rPr>
          <w:t>@</w:t>
        </w:r>
        <w:proofErr w:type="spellStart"/>
        <w:r>
          <w:rPr>
            <w:rStyle w:val="af4"/>
            <w:rFonts w:ascii="Arial" w:hAnsi="Arial" w:cs="Arial"/>
            <w:sz w:val="20"/>
            <w:szCs w:val="20"/>
            <w:lang w:val="en-US"/>
          </w:rPr>
          <w:t>rostecnpf</w:t>
        </w:r>
        <w:proofErr w:type="spellEnd"/>
        <w:r>
          <w:rPr>
            <w:rStyle w:val="af4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f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8385C54" w14:textId="14AE53B6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По </w:t>
      </w:r>
      <w:r>
        <w:rPr>
          <w:rFonts w:ascii="Arial" w:hAnsi="Arial" w:cs="Arial"/>
          <w:sz w:val="20"/>
          <w:szCs w:val="20"/>
        </w:rPr>
        <w:t>телефон</w:t>
      </w:r>
      <w:r w:rsidR="000A2BAD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Фонда</w:t>
      </w:r>
      <w:r w:rsidR="00A30FE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8 800-600-89-15</w:t>
      </w:r>
      <w:r>
        <w:rPr>
          <w:rFonts w:ascii="Arial" w:hAnsi="Arial" w:cs="Arial"/>
          <w:sz w:val="20"/>
          <w:szCs w:val="20"/>
        </w:rPr>
        <w:t>.</w:t>
      </w:r>
    </w:p>
    <w:p w14:paraId="3DBB23C6" w14:textId="77777777" w:rsidR="000A2BAD" w:rsidRPr="000A2BAD" w:rsidRDefault="000A2BAD" w:rsidP="000A2BA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A2BAD">
        <w:rPr>
          <w:rFonts w:ascii="Arial" w:hAnsi="Arial" w:cs="Arial"/>
          <w:sz w:val="20"/>
          <w:szCs w:val="20"/>
        </w:rPr>
        <w:t>3. С использованием информационно-телекоммуникационной сети Интернет:</w:t>
      </w:r>
    </w:p>
    <w:p w14:paraId="4F583C65" w14:textId="77777777" w:rsidR="000A2BAD" w:rsidRPr="000A2BAD" w:rsidRDefault="000A2BAD" w:rsidP="000A2BA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A2BAD">
        <w:rPr>
          <w:rFonts w:ascii="Arial" w:hAnsi="Arial" w:cs="Arial"/>
          <w:sz w:val="20"/>
          <w:szCs w:val="20"/>
        </w:rPr>
        <w:t>- через личный кабинет получателя финансовых услуг;</w:t>
      </w:r>
    </w:p>
    <w:p w14:paraId="06A3FAE0" w14:textId="0711C3E4" w:rsidR="000A2BAD" w:rsidRDefault="000A2BAD" w:rsidP="000A2BA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A2BAD">
        <w:rPr>
          <w:rFonts w:ascii="Arial" w:hAnsi="Arial" w:cs="Arial"/>
          <w:sz w:val="20"/>
          <w:szCs w:val="20"/>
        </w:rPr>
        <w:t>- через форму «направить обращение в Фонд» на официальном сайте Фонда.</w:t>
      </w:r>
    </w:p>
    <w:p w14:paraId="653ACF2A" w14:textId="6CB4C9B7" w:rsidR="00967E37" w:rsidRDefault="000A2B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8F3F7"/>
        </w:rPr>
      </w:pPr>
      <w:r>
        <w:rPr>
          <w:rFonts w:ascii="Arial" w:hAnsi="Arial" w:cs="Arial"/>
          <w:sz w:val="20"/>
          <w:szCs w:val="20"/>
        </w:rPr>
        <w:t>4</w:t>
      </w:r>
      <w:r w:rsidR="00303F78">
        <w:rPr>
          <w:rFonts w:ascii="Arial" w:hAnsi="Arial" w:cs="Arial"/>
          <w:sz w:val="20"/>
          <w:szCs w:val="20"/>
        </w:rPr>
        <w:t>.</w:t>
      </w:r>
      <w:r w:rsidR="00303F78">
        <w:rPr>
          <w:rFonts w:ascii="Arial" w:hAnsi="Arial" w:cs="Arial"/>
          <w:color w:val="000000"/>
          <w:sz w:val="20"/>
          <w:szCs w:val="20"/>
        </w:rPr>
        <w:t xml:space="preserve"> Почтовым отправлением на адрес:</w:t>
      </w:r>
      <w:r w:rsidR="00303F78">
        <w:rPr>
          <w:rFonts w:ascii="Arial" w:hAnsi="Arial" w:cs="Arial"/>
          <w:color w:val="000000"/>
          <w:sz w:val="20"/>
          <w:szCs w:val="20"/>
          <w:shd w:val="clear" w:color="auto" w:fill="F8F3F7"/>
        </w:rPr>
        <w:t xml:space="preserve"> </w:t>
      </w:r>
      <w:r w:rsidR="00303F78">
        <w:rPr>
          <w:rFonts w:ascii="Arial" w:hAnsi="Arial" w:cs="Arial"/>
          <w:color w:val="000000"/>
          <w:sz w:val="20"/>
          <w:szCs w:val="20"/>
        </w:rPr>
        <w:t>445028, Самарская обл., г. Тольятти, ул. Фрунзе, д. 24.</w:t>
      </w:r>
    </w:p>
    <w:p w14:paraId="1C2A777F" w14:textId="6EAB6DB6" w:rsidR="00967E37" w:rsidRDefault="000A2BA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303F78">
        <w:rPr>
          <w:rFonts w:ascii="Arial" w:hAnsi="Arial" w:cs="Arial"/>
          <w:color w:val="000000"/>
          <w:sz w:val="20"/>
          <w:szCs w:val="20"/>
        </w:rPr>
        <w:t>. При личном приеме в офисах обслуживания клиентов Фонда по адресам:</w:t>
      </w:r>
    </w:p>
    <w:p w14:paraId="2436F291" w14:textId="77777777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г. Тольятти, ул. Фрунзе, д. 24;</w:t>
      </w:r>
    </w:p>
    <w:p w14:paraId="6B047DB0" w14:textId="77777777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- г. 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Ростов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>-на-Дону, ул. Новаторов, д. 3Б;</w:t>
      </w:r>
    </w:p>
    <w:p w14:paraId="2656C10D" w14:textId="77777777" w:rsidR="00967E37" w:rsidRDefault="00303F78">
      <w:pPr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 г. Казань, ул. Вишневского, д. 2Е;</w:t>
      </w:r>
    </w:p>
    <w:p w14:paraId="6938C9CA" w14:textId="77777777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 г. Набережные Челны, ул. Академика Рубаненко, д. 6.</w:t>
      </w:r>
    </w:p>
    <w:p w14:paraId="42A241D2" w14:textId="7ECE3904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Фонд направляет ответ не позднее 15 рабочих дней со дня </w:t>
      </w:r>
      <w:r w:rsidR="000A2BAD">
        <w:rPr>
          <w:rFonts w:ascii="Arial" w:hAnsi="Arial" w:cs="Arial"/>
          <w:sz w:val="20"/>
          <w:szCs w:val="20"/>
        </w:rPr>
        <w:t xml:space="preserve">регистрации </w:t>
      </w:r>
      <w:r>
        <w:rPr>
          <w:rFonts w:ascii="Arial" w:hAnsi="Arial" w:cs="Arial"/>
          <w:sz w:val="20"/>
          <w:szCs w:val="20"/>
        </w:rPr>
        <w:t xml:space="preserve">обращения, а в случае запроса информации о состоянии пенсионного счета – в течение 10 </w:t>
      </w:r>
      <w:r w:rsidR="000A2BAD">
        <w:rPr>
          <w:rFonts w:ascii="Arial" w:hAnsi="Arial" w:cs="Arial"/>
          <w:sz w:val="20"/>
          <w:szCs w:val="20"/>
        </w:rPr>
        <w:t xml:space="preserve">календарных </w:t>
      </w:r>
      <w:r>
        <w:rPr>
          <w:rFonts w:ascii="Arial" w:hAnsi="Arial" w:cs="Arial"/>
          <w:sz w:val="20"/>
          <w:szCs w:val="20"/>
        </w:rPr>
        <w:t>дней со дня обращения.</w:t>
      </w:r>
    </w:p>
    <w:p w14:paraId="65C3DD4B" w14:textId="77777777" w:rsidR="00967E37" w:rsidRDefault="00303F78" w:rsidP="000A2BAD">
      <w:pPr>
        <w:tabs>
          <w:tab w:val="left" w:pos="709"/>
          <w:tab w:val="left" w:pos="1276"/>
        </w:tabs>
        <w:spacing w:after="0" w:line="360" w:lineRule="auto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Организации, осуществляющие надзор за деятельностью негосударственных пенсионных фондов: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0D7571" w14:textId="77777777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Служба Банка России по защите прав потребителей и обеспечению доступности финансовых услуг (</w:t>
      </w:r>
      <w:hyperlink r:id="rId9" w:tooltip="http://www.cbr.ru" w:history="1">
        <w:r>
          <w:rPr>
            <w:rStyle w:val="af4"/>
            <w:rFonts w:ascii="Arial" w:hAnsi="Arial" w:cs="Arial"/>
            <w:sz w:val="20"/>
            <w:szCs w:val="20"/>
          </w:rPr>
          <w:t>www.cbr.ru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0" w:tooltip="http://www.cbr.ru/protection_rights" w:history="1">
        <w:r>
          <w:rPr>
            <w:rStyle w:val="af4"/>
            <w:rFonts w:ascii="Arial" w:hAnsi="Arial" w:cs="Arial"/>
            <w:sz w:val="20"/>
            <w:szCs w:val="20"/>
            <w:lang w:val="en-US"/>
          </w:rPr>
          <w:t>www</w:t>
        </w:r>
        <w:r>
          <w:rPr>
            <w:rStyle w:val="af4"/>
            <w:rFonts w:ascii="Arial" w:hAnsi="Arial" w:cs="Arial"/>
            <w:sz w:val="20"/>
            <w:szCs w:val="20"/>
          </w:rPr>
          <w:t>.cbr.ru/</w:t>
        </w:r>
        <w:proofErr w:type="spellStart"/>
        <w:r>
          <w:rPr>
            <w:rStyle w:val="af4"/>
            <w:rFonts w:ascii="Arial" w:hAnsi="Arial" w:cs="Arial"/>
            <w:sz w:val="20"/>
            <w:szCs w:val="20"/>
          </w:rPr>
          <w:t>protection_rights</w:t>
        </w:r>
        <w:proofErr w:type="spellEnd"/>
      </w:hyperlink>
      <w:r>
        <w:rPr>
          <w:rFonts w:ascii="Arial" w:hAnsi="Arial" w:cs="Arial"/>
          <w:sz w:val="20"/>
          <w:szCs w:val="20"/>
        </w:rPr>
        <w:t>).</w:t>
      </w:r>
    </w:p>
    <w:p w14:paraId="6D5F38CE" w14:textId="13A8F53A" w:rsidR="00967E37" w:rsidRDefault="00303F7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Саморегулируемая организация, членом которой является Фонд</w:t>
      </w:r>
      <w:r w:rsidR="00A30FEA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Национальная ассоциация негосударственных пенсионных фондов (НАПФ),</w:t>
      </w:r>
      <w:bookmarkStart w:id="1" w:name="_Hlk95144595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адрес официального сайта</w:t>
      </w:r>
      <w:r w:rsidR="00A30FEA">
        <w:rPr>
          <w:rFonts w:ascii="Arial" w:hAnsi="Arial" w:cs="Arial"/>
          <w:color w:val="212121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hyperlink r:id="rId11" w:tooltip="http://www.napf.ru" w:history="1">
        <w:r>
          <w:rPr>
            <w:rStyle w:val="af4"/>
            <w:rFonts w:ascii="Arial" w:hAnsi="Arial" w:cs="Arial"/>
            <w:sz w:val="20"/>
            <w:szCs w:val="20"/>
            <w:shd w:val="clear" w:color="auto" w:fill="FFFFFF"/>
          </w:rPr>
          <w:t>www.napf.ru</w:t>
        </w:r>
      </w:hyperlink>
      <w:bookmarkEnd w:id="1"/>
      <w:r>
        <w:rPr>
          <w:rFonts w:ascii="Arial" w:hAnsi="Arial" w:cs="Arial"/>
          <w:color w:val="000000"/>
          <w:sz w:val="20"/>
          <w:szCs w:val="20"/>
        </w:rPr>
        <w:t>; адрес электронной почты</w:t>
      </w:r>
      <w:r w:rsidR="00A30FEA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tooltip="mailto:info@" w:history="1">
        <w:r>
          <w:rPr>
            <w:rStyle w:val="af4"/>
            <w:rFonts w:ascii="Arial" w:hAnsi="Arial" w:cs="Arial"/>
            <w:sz w:val="20"/>
            <w:szCs w:val="20"/>
          </w:rPr>
          <w:t>info@</w:t>
        </w:r>
      </w:hyperlink>
      <w:r>
        <w:rPr>
          <w:rStyle w:val="af4"/>
          <w:rFonts w:ascii="Arial" w:hAnsi="Arial" w:cs="Arial"/>
          <w:sz w:val="20"/>
          <w:szCs w:val="20"/>
          <w:lang w:val="en-US"/>
        </w:rPr>
        <w:t>napf</w:t>
      </w:r>
      <w:r>
        <w:rPr>
          <w:rStyle w:val="af4"/>
          <w:rFonts w:ascii="Arial" w:hAnsi="Arial" w:cs="Arial"/>
          <w:sz w:val="20"/>
          <w:szCs w:val="20"/>
        </w:rPr>
        <w:t>.</w:t>
      </w:r>
      <w:r>
        <w:rPr>
          <w:rStyle w:val="af4"/>
          <w:rFonts w:ascii="Arial" w:hAnsi="Arial" w:cs="Arial"/>
          <w:sz w:val="20"/>
          <w:szCs w:val="20"/>
          <w:lang w:val="en-US"/>
        </w:rPr>
        <w:t>ru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5AA416F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Дополнительная релевантная информация</w:t>
      </w:r>
    </w:p>
    <w:p w14:paraId="2F9D2095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своевременно информировать Фонд об изменении своих персональных данных (паспортных, контактных и т. д.), необходимых для исполнения Фондом обязательств по договору об ОПС.</w:t>
      </w:r>
    </w:p>
    <w:p w14:paraId="39F7C521" w14:textId="77777777" w:rsidR="00967E37" w:rsidRDefault="00303F7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Описание основных рисков услуги</w:t>
      </w:r>
    </w:p>
    <w:p w14:paraId="71524406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При смене НПФ чаще, </w:t>
      </w:r>
      <w:r>
        <w:rPr>
          <w:rFonts w:ascii="Arial" w:hAnsi="Arial" w:cs="Arial"/>
          <w:bCs/>
          <w:sz w:val="20"/>
          <w:szCs w:val="20"/>
        </w:rPr>
        <w:t xml:space="preserve">чем один раз в пять лет с даты вступления в силу договора об ОПС, </w:t>
      </w:r>
      <w:r>
        <w:rPr>
          <w:rFonts w:ascii="Arial" w:hAnsi="Arial" w:cs="Arial"/>
          <w:sz w:val="20"/>
          <w:szCs w:val="20"/>
        </w:rPr>
        <w:t xml:space="preserve">возможно </w:t>
      </w:r>
      <w:r>
        <w:rPr>
          <w:rFonts w:ascii="Arial" w:hAnsi="Arial" w:cs="Arial"/>
          <w:bCs/>
          <w:sz w:val="20"/>
          <w:szCs w:val="20"/>
        </w:rPr>
        <w:t xml:space="preserve">потерять </w:t>
      </w:r>
      <w:r>
        <w:rPr>
          <w:rFonts w:ascii="Arial" w:hAnsi="Arial" w:cs="Arial"/>
          <w:sz w:val="20"/>
          <w:szCs w:val="20"/>
        </w:rPr>
        <w:t>заработанный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страховщиком инвестиционный доход, а также при отрицательном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результате инвестирования ‒ часть средств пенсионных накоплений.</w:t>
      </w:r>
    </w:p>
    <w:p w14:paraId="7C088D7E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случае </w:t>
      </w:r>
      <w:r>
        <w:rPr>
          <w:rFonts w:ascii="Arial" w:hAnsi="Arial" w:cs="Arial"/>
          <w:bCs/>
          <w:sz w:val="20"/>
          <w:szCs w:val="20"/>
        </w:rPr>
        <w:t xml:space="preserve">пропуска правопреемником срока </w:t>
      </w:r>
      <w:r>
        <w:rPr>
          <w:rFonts w:ascii="Arial" w:hAnsi="Arial" w:cs="Arial"/>
          <w:sz w:val="20"/>
          <w:szCs w:val="20"/>
        </w:rPr>
        <w:t xml:space="preserve">для обращения за выплатой средств пенсионных накоплений умершего застрахованного лица </w:t>
      </w:r>
      <w:r>
        <w:rPr>
          <w:rFonts w:ascii="Arial" w:hAnsi="Arial" w:cs="Arial"/>
          <w:bCs/>
          <w:sz w:val="20"/>
          <w:szCs w:val="20"/>
        </w:rPr>
        <w:t xml:space="preserve">(6 месяцев), </w:t>
      </w:r>
      <w:r>
        <w:rPr>
          <w:rFonts w:ascii="Arial" w:hAnsi="Arial" w:cs="Arial"/>
          <w:sz w:val="20"/>
          <w:szCs w:val="20"/>
        </w:rPr>
        <w:t xml:space="preserve">он может быть восстановлен только </w:t>
      </w:r>
      <w:r>
        <w:rPr>
          <w:rFonts w:ascii="Arial" w:hAnsi="Arial" w:cs="Arial"/>
          <w:bCs/>
          <w:sz w:val="20"/>
          <w:szCs w:val="20"/>
        </w:rPr>
        <w:t>в судебном порядке.</w:t>
      </w:r>
    </w:p>
    <w:p w14:paraId="6F290997" w14:textId="77777777" w:rsidR="00967E37" w:rsidRDefault="00303F78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инвестировании средств пенсионных накоплений возможно увеличение или уменьшение дохода от инвестирования средств пенсионных накоплений, результаты инвестирования в прошлом не определяют доходов в будущем, государство и Фонд не гарантируют доходность инвестирования пенсионных накоплений.</w:t>
      </w:r>
    </w:p>
    <w:p w14:paraId="1461D893" w14:textId="77777777" w:rsidR="00967E37" w:rsidRDefault="00303F78">
      <w:pPr>
        <w:spacing w:line="36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 ключевым информационным документом (КИД), в соответствии с которым осуществляется информирование получателей финансовых услуг о Фонде, финансовых услугах, оказываемых Фондом, сущности и стоимости услуги, основных рисках, включая риск возможной потери части инвестиционного дохода (части средств пенсионных накоплений), ознакомлен.</w:t>
      </w:r>
    </w:p>
    <w:p w14:paraId="08BE367A" w14:textId="77777777" w:rsidR="00967E37" w:rsidRDefault="00303F7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Подпись получателя финансовых услуг _________________   ФИО ___________________________ Дата________________</w:t>
      </w:r>
    </w:p>
    <w:sectPr w:rsidR="00967E37">
      <w:headerReference w:type="default" r:id="rId13"/>
      <w:pgSz w:w="11906" w:h="16838"/>
      <w:pgMar w:top="567" w:right="566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2189" w14:textId="77777777" w:rsidR="00A61B8B" w:rsidRDefault="00A61B8B">
      <w:pPr>
        <w:spacing w:after="0" w:line="240" w:lineRule="auto"/>
      </w:pPr>
      <w:r>
        <w:separator/>
      </w:r>
    </w:p>
  </w:endnote>
  <w:endnote w:type="continuationSeparator" w:id="0">
    <w:p w14:paraId="40E70662" w14:textId="77777777" w:rsidR="00A61B8B" w:rsidRDefault="00A6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F3AF" w14:textId="77777777" w:rsidR="00A61B8B" w:rsidRDefault="00A61B8B">
      <w:pPr>
        <w:spacing w:after="0" w:line="240" w:lineRule="auto"/>
      </w:pPr>
      <w:r>
        <w:separator/>
      </w:r>
    </w:p>
  </w:footnote>
  <w:footnote w:type="continuationSeparator" w:id="0">
    <w:p w14:paraId="51F67095" w14:textId="77777777" w:rsidR="00A61B8B" w:rsidRDefault="00A6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735490"/>
      <w:docPartObj>
        <w:docPartGallery w:val="Page Numbers (Top of Page)"/>
        <w:docPartUnique/>
      </w:docPartObj>
    </w:sdtPr>
    <w:sdtContent>
      <w:p w14:paraId="5230050C" w14:textId="77777777" w:rsidR="00967E37" w:rsidRDefault="00303F78">
        <w:pPr>
          <w:pStyle w:val="afd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3E8331" w14:textId="77777777" w:rsidR="00967E37" w:rsidRDefault="00967E37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10C6A"/>
    <w:multiLevelType w:val="hybridMultilevel"/>
    <w:tmpl w:val="CBA03DD4"/>
    <w:lvl w:ilvl="0" w:tplc="5F5EF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3681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8CDF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C90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B897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7A06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B610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1679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74EF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162B4"/>
    <w:multiLevelType w:val="hybridMultilevel"/>
    <w:tmpl w:val="A8960006"/>
    <w:lvl w:ilvl="0" w:tplc="29A281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0826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3041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CEA6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700F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6E7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D281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6E34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2A0E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318768F"/>
    <w:multiLevelType w:val="hybridMultilevel"/>
    <w:tmpl w:val="4606B8FE"/>
    <w:lvl w:ilvl="0" w:tplc="8F38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A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A8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F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B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06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1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41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23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39A1"/>
    <w:multiLevelType w:val="hybridMultilevel"/>
    <w:tmpl w:val="0B04016A"/>
    <w:lvl w:ilvl="0" w:tplc="AB60EBA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B2BA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CA60C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F7C72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30A12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BA041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E483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9DC77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32C1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1F5EF6"/>
    <w:multiLevelType w:val="hybridMultilevel"/>
    <w:tmpl w:val="8E6E7DAC"/>
    <w:lvl w:ilvl="0" w:tplc="C47661B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4BC15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5AB6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D888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62CC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AAAD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AA9B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1ADE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92FD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931F5"/>
    <w:multiLevelType w:val="hybridMultilevel"/>
    <w:tmpl w:val="9F5AA778"/>
    <w:lvl w:ilvl="0" w:tplc="18AAA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5622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7C88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CA88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FCE9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807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A660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843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4CF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E6EE4"/>
    <w:multiLevelType w:val="hybridMultilevel"/>
    <w:tmpl w:val="E83A9B4C"/>
    <w:lvl w:ilvl="0" w:tplc="2C087D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63288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CAC5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A58981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3D0AD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7F476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F10F3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95248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018B2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4707C5"/>
    <w:multiLevelType w:val="hybridMultilevel"/>
    <w:tmpl w:val="8EE67C28"/>
    <w:lvl w:ilvl="0" w:tplc="7A2EC6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E3E42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896A1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8A28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6A6F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3C2E9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39297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DACA5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858D3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A6729B"/>
    <w:multiLevelType w:val="hybridMultilevel"/>
    <w:tmpl w:val="D1F67924"/>
    <w:lvl w:ilvl="0" w:tplc="FCFC1A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1E0C0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60D9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1CB1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50B1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EC38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8035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92F4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0F5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2321402">
    <w:abstractNumId w:val="2"/>
  </w:num>
  <w:num w:numId="2" w16cid:durableId="87041773">
    <w:abstractNumId w:val="0"/>
  </w:num>
  <w:num w:numId="3" w16cid:durableId="1182085912">
    <w:abstractNumId w:val="5"/>
  </w:num>
  <w:num w:numId="4" w16cid:durableId="2118793127">
    <w:abstractNumId w:val="8"/>
  </w:num>
  <w:num w:numId="5" w16cid:durableId="392392519">
    <w:abstractNumId w:val="3"/>
  </w:num>
  <w:num w:numId="6" w16cid:durableId="264194177">
    <w:abstractNumId w:val="6"/>
  </w:num>
  <w:num w:numId="7" w16cid:durableId="637498060">
    <w:abstractNumId w:val="7"/>
  </w:num>
  <w:num w:numId="8" w16cid:durableId="521671713">
    <w:abstractNumId w:val="1"/>
  </w:num>
  <w:num w:numId="9" w16cid:durableId="88935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37"/>
    <w:rsid w:val="000A2BAD"/>
    <w:rsid w:val="001105A0"/>
    <w:rsid w:val="00303F78"/>
    <w:rsid w:val="003644A3"/>
    <w:rsid w:val="00967E37"/>
    <w:rsid w:val="00A30FEA"/>
    <w:rsid w:val="00A61B8B"/>
    <w:rsid w:val="00C8069E"/>
    <w:rsid w:val="00D2669B"/>
    <w:rsid w:val="00E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BF60"/>
  <w15:docId w15:val="{0A05E7B9-3F81-4BED-88EE-F5CE62C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tecnpf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p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/protection_r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8F4D-BB14-4BFE-8606-062C56D3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К</dc:creator>
  <cp:keywords/>
  <dc:description/>
  <cp:lastModifiedBy>Стюрева Наталья Александровна</cp:lastModifiedBy>
  <cp:revision>31</cp:revision>
  <dcterms:created xsi:type="dcterms:W3CDTF">2023-05-22T13:48:00Z</dcterms:created>
  <dcterms:modified xsi:type="dcterms:W3CDTF">2024-08-20T07:34:00Z</dcterms:modified>
</cp:coreProperties>
</file>