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C97E"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 xml:space="preserve">Ключевой информационный документ (КИД) </w:t>
      </w:r>
    </w:p>
    <w:p w14:paraId="7F7ED716"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 xml:space="preserve">по негосударственному пенсионному обеспечению (НПО) </w:t>
      </w:r>
    </w:p>
    <w:p w14:paraId="400E71FC"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Акционерного общества «Негосударственный пенсионный фонд «Ростех»</w:t>
      </w:r>
      <w:r>
        <w:rPr>
          <w:rFonts w:ascii="Arial" w:hAnsi="Arial" w:cs="Arial"/>
          <w:b/>
          <w:color w:val="000000"/>
          <w:sz w:val="20"/>
          <w:szCs w:val="20"/>
        </w:rPr>
        <w:br/>
      </w:r>
    </w:p>
    <w:p w14:paraId="0537A84B"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Настоящий документ является ключевым информационным документом (далее – КИД) по информированию получателей финансовых услуг о негосударственном пенсионном фонде АО «НПФ «Ростех» (далее – Фонд), предоставляющем услугу по негосударственному пенсионному обеспечению, ее сущности, стоимости и основных рисках. Настоящий КИД относится к пенсионным схемам, предлагаемым Фондом для заключения договоров негосударственного пенсионного обеспечения (далее – пенсионный договор) с физическими лицами в соответствии с действующей редакцией пенсионных правил Фонда.</w:t>
      </w:r>
    </w:p>
    <w:p w14:paraId="433FED42" w14:textId="77777777" w:rsidR="003D11BB" w:rsidRDefault="002C3953">
      <w:pPr>
        <w:spacing w:after="0" w:line="360" w:lineRule="auto"/>
        <w:ind w:firstLine="709"/>
        <w:jc w:val="both"/>
        <w:rPr>
          <w:rFonts w:ascii="Arial" w:hAnsi="Arial" w:cs="Arial"/>
          <w:sz w:val="20"/>
          <w:szCs w:val="20"/>
        </w:rPr>
      </w:pPr>
      <w:r>
        <w:rPr>
          <w:rFonts w:ascii="Arial" w:hAnsi="Arial" w:cs="Arial"/>
          <w:sz w:val="20"/>
          <w:szCs w:val="20"/>
        </w:rPr>
        <w:t>Данный документ не является рекламным материалом.</w:t>
      </w:r>
    </w:p>
    <w:p w14:paraId="067DD6AB"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Информация о поставщике финансовой услуги – негосударственном пенсионном фонде</w:t>
      </w:r>
    </w:p>
    <w:p w14:paraId="24A121DC"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Акционерное общество «Негосударственный пенсионный фонд «Ростех» (АО «НПФ «Ростех»):</w:t>
      </w:r>
    </w:p>
    <w:p w14:paraId="549CB030"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ОГРН 1156313047087;</w:t>
      </w:r>
    </w:p>
    <w:p w14:paraId="1A201547"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ИНН 6321391646;</w:t>
      </w:r>
    </w:p>
    <w:p w14:paraId="5BDD1796"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лицензия № 169/2 от 02.08.2005 без ограничения срока действия;</w:t>
      </w:r>
    </w:p>
    <w:p w14:paraId="4BDECAAE"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сведения об офисах обслуживания клиентов Фонда, где можно получить подробную информацию о Фонде, ознакомиться с уставом, пенсионными правилами Фонда, а также с иными документами, предусмотренными Федеральным законом от 07.05.1998 № 75-ФЗ «О негосударственных пенсионных фондах» и нормативными актами Банка России:</w:t>
      </w:r>
    </w:p>
    <w:p w14:paraId="3D125259"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Тольятти: г. Тольятти, ул. Фрунзе, д. 24; тел.: 8 (8482) 38-89-15;</w:t>
      </w:r>
    </w:p>
    <w:p w14:paraId="02EDF1B5"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highlight w:val="white"/>
        </w:rPr>
        <w:t xml:space="preserve">офис обслуживания клиентов Фонда в г. </w:t>
      </w:r>
      <w:proofErr w:type="spellStart"/>
      <w:r>
        <w:rPr>
          <w:rFonts w:ascii="Arial" w:hAnsi="Arial" w:cs="Arial"/>
          <w:sz w:val="20"/>
          <w:szCs w:val="20"/>
          <w:highlight w:val="white"/>
        </w:rPr>
        <w:t>Ростове</w:t>
      </w:r>
      <w:proofErr w:type="spellEnd"/>
      <w:r>
        <w:rPr>
          <w:rFonts w:ascii="Arial" w:hAnsi="Arial" w:cs="Arial"/>
          <w:sz w:val="20"/>
          <w:szCs w:val="20"/>
          <w:highlight w:val="white"/>
        </w:rPr>
        <w:t xml:space="preserve">-на-Дону: г. </w:t>
      </w:r>
      <w:proofErr w:type="spellStart"/>
      <w:r>
        <w:rPr>
          <w:rFonts w:ascii="Arial" w:hAnsi="Arial" w:cs="Arial"/>
          <w:sz w:val="20"/>
          <w:szCs w:val="20"/>
        </w:rPr>
        <w:t>Ростов</w:t>
      </w:r>
      <w:proofErr w:type="spellEnd"/>
      <w:r>
        <w:rPr>
          <w:rFonts w:ascii="Arial" w:hAnsi="Arial" w:cs="Arial"/>
          <w:sz w:val="20"/>
          <w:szCs w:val="20"/>
        </w:rPr>
        <w:t>-на-Дону, ул. Новаторов, д. 3Б;</w:t>
      </w:r>
      <w:r>
        <w:rPr>
          <w:rFonts w:ascii="Arial" w:hAnsi="Arial" w:cs="Arial"/>
          <w:sz w:val="20"/>
          <w:szCs w:val="20"/>
        </w:rPr>
        <w:br/>
        <w:t>тел.: 8 (863) 333-99-15;</w:t>
      </w:r>
    </w:p>
    <w:p w14:paraId="7D5E6A44" w14:textId="414664C6"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Казан</w:t>
      </w:r>
      <w:r w:rsidR="0024015A">
        <w:rPr>
          <w:rFonts w:ascii="Arial" w:hAnsi="Arial" w:cs="Arial"/>
          <w:sz w:val="20"/>
          <w:szCs w:val="20"/>
          <w:highlight w:val="white"/>
        </w:rPr>
        <w:t>и</w:t>
      </w:r>
      <w:r>
        <w:rPr>
          <w:rFonts w:ascii="Arial" w:hAnsi="Arial" w:cs="Arial"/>
          <w:sz w:val="20"/>
          <w:szCs w:val="20"/>
          <w:highlight w:val="white"/>
        </w:rPr>
        <w:t>: г. Казань, ул. Вишневского, д. 2Е;</w:t>
      </w:r>
      <w:r>
        <w:rPr>
          <w:rFonts w:ascii="Arial" w:hAnsi="Arial" w:cs="Arial"/>
          <w:sz w:val="20"/>
          <w:szCs w:val="20"/>
          <w:highlight w:val="white"/>
        </w:rPr>
        <w:br/>
        <w:t>тел: 8 (843) 236-00-17; 8 (843) 236-00-18;</w:t>
      </w:r>
    </w:p>
    <w:p w14:paraId="2A1FB7C8" w14:textId="77777777" w:rsidR="003D11BB" w:rsidRDefault="002C3953">
      <w:pPr>
        <w:pStyle w:val="af5"/>
        <w:numPr>
          <w:ilvl w:val="0"/>
          <w:numId w:val="4"/>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Набережные Челны: г. Набережные Челны,</w:t>
      </w:r>
      <w:r>
        <w:rPr>
          <w:rFonts w:ascii="Arial" w:hAnsi="Arial" w:cs="Arial"/>
          <w:sz w:val="20"/>
          <w:szCs w:val="20"/>
          <w:highlight w:val="white"/>
        </w:rPr>
        <w:br/>
        <w:t>ул. Академика Рубаненко, д. 6; тел: 8 (8552) 39-23-51.</w:t>
      </w:r>
    </w:p>
    <w:p w14:paraId="1DDA2EA1" w14:textId="078DB74C" w:rsidR="003D11BB" w:rsidRDefault="002C3953">
      <w:pPr>
        <w:spacing w:after="0" w:line="360" w:lineRule="auto"/>
        <w:ind w:firstLine="709"/>
        <w:jc w:val="both"/>
        <w:rPr>
          <w:rFonts w:ascii="Arial" w:hAnsi="Arial" w:cs="Arial"/>
          <w:sz w:val="20"/>
          <w:szCs w:val="20"/>
        </w:rPr>
      </w:pPr>
      <w:r>
        <w:rPr>
          <w:rFonts w:ascii="Arial" w:hAnsi="Arial" w:cs="Arial"/>
          <w:sz w:val="20"/>
          <w:szCs w:val="20"/>
        </w:rPr>
        <w:t>Адрес официального сайта</w:t>
      </w:r>
      <w:r w:rsidR="009C2E01">
        <w:rPr>
          <w:rFonts w:ascii="Arial" w:hAnsi="Arial" w:cs="Arial"/>
          <w:sz w:val="20"/>
          <w:szCs w:val="20"/>
        </w:rPr>
        <w:t>:</w:t>
      </w:r>
      <w:r>
        <w:rPr>
          <w:rFonts w:ascii="Arial" w:hAnsi="Arial" w:cs="Arial"/>
          <w:sz w:val="20"/>
          <w:szCs w:val="20"/>
        </w:rPr>
        <w:t xml:space="preserve">  </w:t>
      </w:r>
      <w:hyperlink r:id="rId7" w:tooltip="http://www.rostecnpf.ru" w:history="1">
        <w:r>
          <w:rPr>
            <w:rStyle w:val="af4"/>
            <w:rFonts w:ascii="Arial" w:hAnsi="Arial" w:cs="Arial"/>
            <w:sz w:val="20"/>
            <w:szCs w:val="20"/>
          </w:rPr>
          <w:t>www.rostecnpf.ru</w:t>
        </w:r>
      </w:hyperlink>
      <w:r>
        <w:rPr>
          <w:rFonts w:ascii="Arial" w:hAnsi="Arial" w:cs="Arial"/>
          <w:sz w:val="20"/>
          <w:szCs w:val="20"/>
        </w:rPr>
        <w:t>.</w:t>
      </w:r>
    </w:p>
    <w:p w14:paraId="563B8817" w14:textId="62BD9A07" w:rsidR="003D11BB" w:rsidRDefault="002C3953">
      <w:pPr>
        <w:spacing w:after="0" w:line="360" w:lineRule="auto"/>
        <w:ind w:firstLine="709"/>
        <w:jc w:val="both"/>
        <w:rPr>
          <w:rFonts w:ascii="Arial" w:hAnsi="Arial" w:cs="Arial"/>
          <w:sz w:val="20"/>
          <w:szCs w:val="20"/>
        </w:rPr>
      </w:pPr>
      <w:r>
        <w:rPr>
          <w:rFonts w:ascii="Arial" w:hAnsi="Arial" w:cs="Arial"/>
          <w:sz w:val="20"/>
          <w:szCs w:val="20"/>
        </w:rPr>
        <w:t>Адрес электронной почты</w:t>
      </w:r>
      <w:r w:rsidR="009C2E01">
        <w:rPr>
          <w:rFonts w:ascii="Arial" w:hAnsi="Arial" w:cs="Arial"/>
          <w:sz w:val="20"/>
          <w:szCs w:val="20"/>
        </w:rPr>
        <w:t>:</w:t>
      </w:r>
      <w:r>
        <w:rPr>
          <w:rFonts w:ascii="Arial" w:hAnsi="Arial" w:cs="Arial"/>
          <w:sz w:val="20"/>
          <w:szCs w:val="20"/>
        </w:rPr>
        <w:t xml:space="preserve"> </w:t>
      </w:r>
      <w:hyperlink r:id="rId8" w:tooltip="mailto:info@rostecnpf.ru" w:history="1">
        <w:r>
          <w:rPr>
            <w:rStyle w:val="af4"/>
            <w:rFonts w:ascii="Arial" w:hAnsi="Arial" w:cs="Arial"/>
            <w:sz w:val="20"/>
            <w:szCs w:val="20"/>
          </w:rPr>
          <w:t>info@rostecnpf.ru</w:t>
        </w:r>
      </w:hyperlink>
      <w:r>
        <w:rPr>
          <w:rFonts w:ascii="Arial" w:hAnsi="Arial" w:cs="Arial"/>
          <w:sz w:val="20"/>
          <w:szCs w:val="20"/>
        </w:rPr>
        <w:t>.</w:t>
      </w:r>
    </w:p>
    <w:p w14:paraId="44E0BDA3"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Информация о представителе Фонда</w:t>
      </w:r>
    </w:p>
    <w:p w14:paraId="7CD7E38A"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Информацию об уполномоченных представителях Фонда можно получить по телефонам Фонда: </w:t>
      </w:r>
      <w:r>
        <w:rPr>
          <w:rFonts w:ascii="Arial" w:hAnsi="Arial" w:cs="Arial"/>
          <w:sz w:val="20"/>
          <w:szCs w:val="20"/>
        </w:rPr>
        <w:br/>
        <w:t>8 800-600-89-15, 8 (8482) 38-89-15. Представитель не является стороной пенсионного договора и не оказывает финансовую услугу, а выступает от имени Фонда, который является стороной пенсионного договора и оказывает финансовую услугу.</w:t>
      </w:r>
    </w:p>
    <w:p w14:paraId="0141105C"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Потенциальные получатели финансовой услуги</w:t>
      </w:r>
    </w:p>
    <w:p w14:paraId="381D4A33"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Получателями финансовой услуги могут стать физические лица, заинтересованные в организации собственного негосударственного пенсионного обеспечения, а также 3 (третьего) лица.</w:t>
      </w:r>
    </w:p>
    <w:p w14:paraId="56B469E2"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Наименование и тип предоставляемой услуги</w:t>
      </w:r>
    </w:p>
    <w:p w14:paraId="624EE2DC"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Негосударственное пенсионное обеспечение.</w:t>
      </w:r>
    </w:p>
    <w:p w14:paraId="0761F102"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Негосударственное пенсионное обеспечение участника реализуется в соответствии с заключенным между вкладчиком и Фондом пенсионным договором.</w:t>
      </w:r>
    </w:p>
    <w:p w14:paraId="5367A075"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В соответствии с пенсионным договором вкладчик обязуется уплачивать пенсионные взносы в Фонд, а Фонд обязуется выплачивать участнику (участникам) Фонда негосударственную пенсию. Участник может выступать вкладчиком в свою пользу.</w:t>
      </w:r>
    </w:p>
    <w:p w14:paraId="49839453"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lastRenderedPageBreak/>
        <w:t>При заключении пенсионного договора в соответствии с действующими пенсионными правилами Фонда сторонами пенсионного договора устанавливаются:</w:t>
      </w:r>
    </w:p>
    <w:p w14:paraId="57DE1C9A"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 вид пенсионной схемы;</w:t>
      </w:r>
    </w:p>
    <w:p w14:paraId="7EFC21B9"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 порядок и условия внесения пенсионных взносов;</w:t>
      </w:r>
    </w:p>
    <w:p w14:paraId="29A6B7FC" w14:textId="77777777" w:rsidR="003D11BB" w:rsidRDefault="002C3953">
      <w:pPr>
        <w:spacing w:after="0" w:line="360" w:lineRule="auto"/>
        <w:ind w:firstLine="708"/>
        <w:jc w:val="both"/>
        <w:rPr>
          <w:rFonts w:ascii="Arial" w:hAnsi="Arial" w:cs="Arial"/>
          <w:bCs/>
          <w:sz w:val="20"/>
          <w:szCs w:val="20"/>
        </w:rPr>
      </w:pPr>
      <w:r>
        <w:rPr>
          <w:rFonts w:ascii="Arial" w:hAnsi="Arial" w:cs="Arial"/>
          <w:bCs/>
          <w:sz w:val="20"/>
          <w:szCs w:val="20"/>
        </w:rPr>
        <w:t>- перечень пенсионных оснований;</w:t>
      </w:r>
    </w:p>
    <w:p w14:paraId="7BED0919" w14:textId="77777777" w:rsidR="003D11BB" w:rsidRDefault="002C3953">
      <w:pPr>
        <w:spacing w:after="0" w:line="360" w:lineRule="auto"/>
        <w:ind w:firstLine="709"/>
        <w:jc w:val="both"/>
        <w:rPr>
          <w:rFonts w:ascii="Arial" w:hAnsi="Arial" w:cs="Arial"/>
          <w:bCs/>
          <w:sz w:val="20"/>
          <w:szCs w:val="20"/>
        </w:rPr>
      </w:pPr>
      <w:r>
        <w:rPr>
          <w:rFonts w:ascii="Arial" w:hAnsi="Arial" w:cs="Arial"/>
          <w:bCs/>
          <w:sz w:val="20"/>
          <w:szCs w:val="20"/>
        </w:rPr>
        <w:t>- порядок, условия назначения и выплаты негосударственной пенсии;</w:t>
      </w:r>
    </w:p>
    <w:p w14:paraId="4F82FA05" w14:textId="77777777" w:rsidR="003D11BB" w:rsidRDefault="002C3953">
      <w:pPr>
        <w:spacing w:after="0" w:line="360" w:lineRule="auto"/>
        <w:ind w:firstLine="709"/>
        <w:jc w:val="both"/>
        <w:rPr>
          <w:rFonts w:ascii="Arial" w:hAnsi="Arial" w:cs="Arial"/>
          <w:bCs/>
          <w:sz w:val="20"/>
          <w:szCs w:val="20"/>
        </w:rPr>
      </w:pPr>
      <w:r>
        <w:rPr>
          <w:rFonts w:ascii="Arial" w:hAnsi="Arial" w:cs="Arial"/>
          <w:bCs/>
          <w:sz w:val="20"/>
          <w:szCs w:val="20"/>
        </w:rPr>
        <w:t>- порядок обращения за назначением негосударственной пенсии.</w:t>
      </w:r>
    </w:p>
    <w:p w14:paraId="6EBE680E" w14:textId="77777777" w:rsidR="003D11BB" w:rsidRDefault="002C3953">
      <w:pPr>
        <w:spacing w:after="0" w:line="360" w:lineRule="auto"/>
        <w:ind w:firstLine="709"/>
        <w:jc w:val="both"/>
        <w:rPr>
          <w:rFonts w:ascii="Arial" w:hAnsi="Arial" w:cs="Arial"/>
          <w:bCs/>
          <w:sz w:val="20"/>
          <w:szCs w:val="20"/>
        </w:rPr>
      </w:pPr>
      <w:r>
        <w:rPr>
          <w:rFonts w:ascii="Arial" w:hAnsi="Arial" w:cs="Arial"/>
          <w:bCs/>
          <w:sz w:val="20"/>
          <w:szCs w:val="20"/>
        </w:rPr>
        <w:t>В пенсионный договор могут быть включены иные положения в соответствии с пенсионными правилами Фонда.</w:t>
      </w:r>
    </w:p>
    <w:p w14:paraId="19AAE3EA"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Специфика (особенности) услуги</w:t>
      </w:r>
    </w:p>
    <w:p w14:paraId="4BF6412D" w14:textId="1ECAD9F5" w:rsidR="003D11BB" w:rsidRDefault="002C3953">
      <w:pPr>
        <w:spacing w:after="0" w:line="360" w:lineRule="auto"/>
        <w:ind w:firstLine="708"/>
        <w:jc w:val="both"/>
        <w:rPr>
          <w:rFonts w:ascii="Arial" w:hAnsi="Arial" w:cs="Arial"/>
          <w:sz w:val="20"/>
          <w:szCs w:val="20"/>
        </w:rPr>
      </w:pPr>
      <w:r>
        <w:rPr>
          <w:rFonts w:ascii="Arial" w:hAnsi="Arial" w:cs="Arial"/>
          <w:sz w:val="20"/>
          <w:szCs w:val="20"/>
        </w:rPr>
        <w:t>Негосударственная пенсия назначается участнику при наступлении пенсионных оснований, установленных законодательством Российской Федерации</w:t>
      </w:r>
      <w:r w:rsidR="009C2E01">
        <w:rPr>
          <w:rFonts w:ascii="Arial" w:hAnsi="Arial" w:cs="Arial"/>
          <w:sz w:val="20"/>
          <w:szCs w:val="20"/>
        </w:rPr>
        <w:t>,</w:t>
      </w:r>
      <w:r>
        <w:rPr>
          <w:rFonts w:ascii="Arial" w:hAnsi="Arial" w:cs="Arial"/>
          <w:sz w:val="20"/>
          <w:szCs w:val="20"/>
        </w:rPr>
        <w:t xml:space="preserve"> и условиями заключенного пенсионного договора, действующими на дату заключения пенсионного договора. Перечень пенсионных оснований:</w:t>
      </w:r>
    </w:p>
    <w:p w14:paraId="412F4BE4"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мужчины, достигшие возраста 60 лет, и женщины, достигшие возраста 55 лет;</w:t>
      </w:r>
    </w:p>
    <w:p w14:paraId="4E7F3CEC"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лица, достигшие общеустановленного возраста, предоставляющего право получения страховой пенсии по старости;</w:t>
      </w:r>
    </w:p>
    <w:p w14:paraId="02511470"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лица, приобретшие право на досрочное назначение страховой пенсии по старости;</w:t>
      </w:r>
    </w:p>
    <w:p w14:paraId="7B89B2F9"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лица, приобретшие право на назначение страховой пенсии по инвалидности;</w:t>
      </w:r>
    </w:p>
    <w:p w14:paraId="6CA3F3B1"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лица, приобретшие право на назначение страховой пенсии по случаю потери кормильца;</w:t>
      </w:r>
    </w:p>
    <w:p w14:paraId="68C8BA2B"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лица, приобретшие право на назначение пенсии по государственному пенсионному обеспечению.</w:t>
      </w:r>
    </w:p>
    <w:p w14:paraId="779B00F9"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Негосударственная пенсия назначается участнику на основании его письменного заявления о назначении негосударственной пенсии.</w:t>
      </w:r>
    </w:p>
    <w:p w14:paraId="10814C3E"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Негосударственная пенсия может быть назначена пожизненно либо на определенный срок, исходя из условий заключенного пенсионного договора.</w:t>
      </w:r>
    </w:p>
    <w:p w14:paraId="4B569CB2"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Размер негосударственной пенсии зависит от суммы внесенных пенсионных взносов, периода и периодичности выплаты негосударственной пенсии.</w:t>
      </w:r>
    </w:p>
    <w:p w14:paraId="54C63F04"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Негосударственная пенсия назначается участнику со дня обращения за ней.</w:t>
      </w:r>
    </w:p>
    <w:p w14:paraId="546C5AF0"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Выплата негосударственной пенсии участнику начинается с месяца, следующего за месяцем назначения негосударственной пенсии, и осуществляется путем безналичного перечисления денежных средств на банковский счет участника.</w:t>
      </w:r>
    </w:p>
    <w:p w14:paraId="5BE984E6"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Фонд обязан ежегодно отражать на пенсионном счете результат размещения средств пенсионных резервов за год, который может быть как положительным, так и отрицательным.</w:t>
      </w:r>
    </w:p>
    <w:p w14:paraId="289C51FC"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В случае, если суммарная величина результатов размещения пенсионных резервов за текущий период гарантийного восполнения, отраженная на пенсионном счете, является отрицательной, Фонд обязан восполнить пенсионный счет на величину этого результата.</w:t>
      </w:r>
    </w:p>
    <w:p w14:paraId="1001EFA4"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Период гарантийного восполнения зависит от условий пенсионного договора. Размер и (или) продолжительность выплаты негосударственной пенсии, назначенной участникам, не могут быть уменьшены в результате получения Фондом убытка от размещения пенсионных резервов.</w:t>
      </w:r>
    </w:p>
    <w:p w14:paraId="355317CF"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Пенсионный договор может быть досрочно прекращен по инициативе вкладчика. В этом случае выплачивается выкупная сумма.</w:t>
      </w:r>
    </w:p>
    <w:p w14:paraId="4FC520A3"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Вкладчик имеет право на получение социального налогового вычета в сумме уплаченных пенсионных взносов в свою пользу </w:t>
      </w:r>
      <w:r>
        <w:rPr>
          <w:rFonts w:ascii="Arial" w:hAnsi="Arial" w:cs="Arial"/>
          <w:color w:val="000000"/>
          <w:sz w:val="20"/>
          <w:szCs w:val="20"/>
          <w:shd w:val="clear" w:color="auto" w:fill="FFFFFF"/>
        </w:rPr>
        <w:t>и (или) в пользу членов семьи и (или) близких родственников в соответствии с Семейным кодексом Российской Федерации (супругов, родителей и детей, в том числе усыновителей и усыновленных, дедушки, бабушки и внуков, полнородных и неполнородных (имеющих общих отца или мать) братьев и сестер), детей-инвалидов, находящихся под опекой (попечительством)</w:t>
      </w:r>
      <w:r>
        <w:rPr>
          <w:rFonts w:ascii="Arial" w:hAnsi="Arial" w:cs="Arial"/>
          <w:sz w:val="20"/>
          <w:szCs w:val="20"/>
        </w:rPr>
        <w:t>. Социальный налоговый вычет можно получить по месту работы или в налоговом органе.</w:t>
      </w:r>
    </w:p>
    <w:p w14:paraId="5881EF25"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 xml:space="preserve">Прекращение действия пенсионного договора </w:t>
      </w:r>
    </w:p>
    <w:p w14:paraId="0BC047CB"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Пенсионный договор прекращает свое действие в случае:</w:t>
      </w:r>
    </w:p>
    <w:p w14:paraId="6A8EF90E"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 - полного надлежащего исполнения Фондом своих обязательств;</w:t>
      </w:r>
    </w:p>
    <w:p w14:paraId="09F584C7"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 - расторжения пенсионного договора;</w:t>
      </w:r>
    </w:p>
    <w:p w14:paraId="2AF36EFB"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 - смерти участника, являющегося вкладчиком в свою пользу;</w:t>
      </w:r>
    </w:p>
    <w:p w14:paraId="57F55EDC"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 xml:space="preserve"> - ликвидации Фонда.</w:t>
      </w:r>
    </w:p>
    <w:p w14:paraId="7B45094A" w14:textId="24E646E7" w:rsidR="003D11BB" w:rsidRDefault="002C3953">
      <w:pPr>
        <w:spacing w:after="0" w:line="360" w:lineRule="auto"/>
        <w:ind w:firstLine="708"/>
        <w:jc w:val="both"/>
        <w:rPr>
          <w:rFonts w:ascii="Arial" w:hAnsi="Arial" w:cs="Arial"/>
          <w:sz w:val="20"/>
          <w:szCs w:val="20"/>
        </w:rPr>
      </w:pPr>
      <w:r>
        <w:rPr>
          <w:rFonts w:ascii="Arial" w:hAnsi="Arial" w:cs="Arial"/>
          <w:sz w:val="20"/>
          <w:szCs w:val="20"/>
        </w:rPr>
        <w:t>Расторжение пенсионного договора может быть осуществлено по инициативе вкладчика, по соглашению сторон, а также по иным основаниям, предусмотренным законодательством Российской Федерации</w:t>
      </w:r>
      <w:r w:rsidR="00792A36">
        <w:rPr>
          <w:rFonts w:ascii="Arial" w:hAnsi="Arial" w:cs="Arial"/>
          <w:sz w:val="20"/>
          <w:szCs w:val="20"/>
        </w:rPr>
        <w:t>,</w:t>
      </w:r>
      <w:r>
        <w:rPr>
          <w:rFonts w:ascii="Arial" w:hAnsi="Arial" w:cs="Arial"/>
          <w:sz w:val="20"/>
          <w:szCs w:val="20"/>
        </w:rPr>
        <w:t xml:space="preserve"> и условиями пенсионного договора.</w:t>
      </w:r>
    </w:p>
    <w:p w14:paraId="5BD5A743" w14:textId="6FD43394" w:rsidR="002777BE" w:rsidRDefault="002777BE">
      <w:pPr>
        <w:spacing w:after="0" w:line="360" w:lineRule="auto"/>
        <w:ind w:firstLine="708"/>
        <w:jc w:val="both"/>
        <w:rPr>
          <w:rFonts w:ascii="Arial" w:hAnsi="Arial" w:cs="Arial"/>
          <w:sz w:val="20"/>
          <w:szCs w:val="20"/>
        </w:rPr>
      </w:pPr>
      <w:r>
        <w:rPr>
          <w:rFonts w:ascii="Arial" w:hAnsi="Arial" w:cs="Arial"/>
          <w:sz w:val="20"/>
          <w:szCs w:val="20"/>
        </w:rPr>
        <w:t xml:space="preserve">Вкладчик </w:t>
      </w:r>
      <w:r w:rsidRPr="002777BE">
        <w:rPr>
          <w:rFonts w:ascii="Arial" w:hAnsi="Arial" w:cs="Arial"/>
          <w:sz w:val="20"/>
          <w:szCs w:val="20"/>
        </w:rPr>
        <w:t xml:space="preserve">вправе расторгнуть </w:t>
      </w:r>
      <w:r>
        <w:rPr>
          <w:rFonts w:ascii="Arial" w:hAnsi="Arial" w:cs="Arial"/>
          <w:sz w:val="20"/>
          <w:szCs w:val="20"/>
        </w:rPr>
        <w:t xml:space="preserve">пенсионный </w:t>
      </w:r>
      <w:r w:rsidRPr="002777BE">
        <w:rPr>
          <w:rFonts w:ascii="Arial" w:hAnsi="Arial" w:cs="Arial"/>
          <w:sz w:val="20"/>
          <w:szCs w:val="20"/>
        </w:rPr>
        <w:t xml:space="preserve">договор в течение четырнадцати календарных дней после дня его заключения (период охлаждения) путем подачи в Фонд заявления, а Фонд обязан осуществить возврат уплаченных </w:t>
      </w:r>
      <w:r>
        <w:rPr>
          <w:rFonts w:ascii="Arial" w:hAnsi="Arial" w:cs="Arial"/>
          <w:sz w:val="20"/>
          <w:szCs w:val="20"/>
        </w:rPr>
        <w:t xml:space="preserve">пенсионных </w:t>
      </w:r>
      <w:r w:rsidRPr="002777BE">
        <w:rPr>
          <w:rFonts w:ascii="Arial" w:hAnsi="Arial" w:cs="Arial"/>
          <w:sz w:val="20"/>
          <w:szCs w:val="20"/>
        </w:rPr>
        <w:t xml:space="preserve">взносов в соответствии с условиями </w:t>
      </w:r>
      <w:r w:rsidR="001F430B">
        <w:rPr>
          <w:rFonts w:ascii="Arial" w:hAnsi="Arial" w:cs="Arial"/>
          <w:sz w:val="20"/>
          <w:szCs w:val="20"/>
        </w:rPr>
        <w:t xml:space="preserve">пенсионного </w:t>
      </w:r>
      <w:r w:rsidRPr="002777BE">
        <w:rPr>
          <w:rFonts w:ascii="Arial" w:hAnsi="Arial" w:cs="Arial"/>
          <w:sz w:val="20"/>
          <w:szCs w:val="20"/>
        </w:rPr>
        <w:t>договора.</w:t>
      </w:r>
    </w:p>
    <w:p w14:paraId="22826740"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Порядок расчета выкупной суммы определяется пенсионными правилами Фонда и условиями заключенного пенсионного договора.</w:t>
      </w:r>
    </w:p>
    <w:p w14:paraId="7FBFD664"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Фонд, исполняя обязанности налогового агента, производит исчисление и удержание суммы налога на доходы физических лиц при выплате (переводе) выкупных сумм в порядке, установленном законодательством Российской Федерации.</w:t>
      </w:r>
    </w:p>
    <w:p w14:paraId="7D90B9DA" w14:textId="77777777" w:rsidR="003D11BB" w:rsidRDefault="002C3953">
      <w:pPr>
        <w:spacing w:after="0" w:line="360" w:lineRule="auto"/>
        <w:jc w:val="center"/>
        <w:rPr>
          <w:rFonts w:ascii="Arial" w:hAnsi="Arial" w:cs="Arial"/>
          <w:sz w:val="20"/>
          <w:szCs w:val="20"/>
        </w:rPr>
      </w:pPr>
      <w:r>
        <w:rPr>
          <w:rFonts w:ascii="Arial" w:hAnsi="Arial" w:cs="Arial"/>
          <w:b/>
          <w:bCs/>
          <w:sz w:val="20"/>
          <w:szCs w:val="20"/>
        </w:rPr>
        <w:t>Описание основных рисков услуги</w:t>
      </w:r>
    </w:p>
    <w:p w14:paraId="3436E665"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Результаты размещения пенсионных резервов в прошлом не определяют доходов в будущем.</w:t>
      </w:r>
    </w:p>
    <w:p w14:paraId="39317075"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Возможно увеличение или уменьшение дохода от размещения пенсионных резервов. Государство и Фонд не гарантируют доходности размещения пенсионных резервов.</w:t>
      </w:r>
    </w:p>
    <w:p w14:paraId="38B40216"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Сборы и платежи, которые подлежат уплате получателем услуги</w:t>
      </w:r>
    </w:p>
    <w:p w14:paraId="6CC0C7B4"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При перечислении пенсионных взносов банком плательщика может взиматься комиссия за перевод денежных средств. Размер комиссии определяется тарифами банка.</w:t>
      </w:r>
    </w:p>
    <w:p w14:paraId="3ABA29B2"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Условиями пенсионного договора может быть предусмотрено удержание части пенсионного взноса в страховой резерв или в собственные средства Фонда.</w:t>
      </w:r>
    </w:p>
    <w:p w14:paraId="12DE5B52"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При выплате негосударственной пенсии участнику, являющемуся вкладчиком в свою пользу, налог на доходы физических лиц не удерживается.</w:t>
      </w:r>
    </w:p>
    <w:p w14:paraId="77622177"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При выплате негосударственной пенсии участнику, не являющемуся вкладчиком в свою пользу, удерживается налог на доходы физических лиц.</w:t>
      </w:r>
    </w:p>
    <w:p w14:paraId="0AAAD9C8"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При выплате негосударственной пенсии участнику оплата расходов, связанных с доставкой негосударственной пенсии участнику, может производиться за счет средств пенсионных резервов, подлежащих выплате участнику, если это предусмотрено условиями заключенного пенсионного договора.</w:t>
      </w:r>
    </w:p>
    <w:p w14:paraId="57717165"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При выплате выкупной суммы вкладчику удерживается налог на доходы физических лиц в соответствии с Налоговым кодексом Российской Федерации.</w:t>
      </w:r>
    </w:p>
    <w:p w14:paraId="3618222F"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Гарантирование прав участников</w:t>
      </w:r>
    </w:p>
    <w:p w14:paraId="56E42D87" w14:textId="77777777" w:rsidR="003D11BB" w:rsidRDefault="002C3953">
      <w:pPr>
        <w:spacing w:after="0" w:line="360" w:lineRule="auto"/>
        <w:ind w:firstLine="708"/>
        <w:jc w:val="both"/>
        <w:rPr>
          <w:rFonts w:ascii="Arial" w:eastAsia="Arial" w:hAnsi="Arial" w:cs="Arial"/>
          <w:sz w:val="20"/>
          <w:szCs w:val="20"/>
        </w:rPr>
      </w:pPr>
      <w:r>
        <w:rPr>
          <w:rFonts w:ascii="Arial" w:hAnsi="Arial" w:cs="Arial"/>
          <w:sz w:val="20"/>
          <w:szCs w:val="20"/>
        </w:rPr>
        <w:t xml:space="preserve">Законодательством Российской Федерации предусмотрена система сохранности пенсионных взносов в случаях аннулирования лицензии Фонда или признания его банкротом. </w:t>
      </w:r>
      <w:r>
        <w:rPr>
          <w:rFonts w:ascii="Arial" w:hAnsi="Arial" w:cs="Arial"/>
          <w:color w:val="000000"/>
          <w:sz w:val="20"/>
          <w:szCs w:val="20"/>
        </w:rPr>
        <w:t>Фонд</w:t>
      </w:r>
      <w:r>
        <w:rPr>
          <w:rFonts w:ascii="Arial" w:hAnsi="Arial" w:cs="Arial"/>
          <w:sz w:val="20"/>
          <w:szCs w:val="20"/>
        </w:rPr>
        <w:t xml:space="preserve"> включен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p>
    <w:p w14:paraId="0AB386B0" w14:textId="77777777" w:rsidR="003D11BB" w:rsidRDefault="002C3953">
      <w:pPr>
        <w:spacing w:after="0" w:line="360" w:lineRule="auto"/>
        <w:ind w:firstLine="708"/>
        <w:jc w:val="both"/>
        <w:rPr>
          <w:rFonts w:ascii="Arial" w:hAnsi="Arial" w:cs="Arial"/>
          <w:sz w:val="20"/>
          <w:szCs w:val="20"/>
        </w:rPr>
      </w:pPr>
      <w:r>
        <w:rPr>
          <w:rFonts w:ascii="Arial" w:eastAsia="Arial" w:hAnsi="Arial" w:cs="Arial"/>
          <w:sz w:val="20"/>
          <w:szCs w:val="20"/>
        </w:rPr>
        <w:t>Размер гарантийного возмещения определяется следующим образом:</w:t>
      </w:r>
    </w:p>
    <w:p w14:paraId="2442BDF8" w14:textId="77777777" w:rsidR="003D11BB" w:rsidRDefault="002C3953">
      <w:pPr>
        <w:pStyle w:val="ConsPlusNormal"/>
        <w:spacing w:line="360" w:lineRule="auto"/>
        <w:ind w:firstLine="709"/>
        <w:jc w:val="both"/>
        <w:rPr>
          <w:rFonts w:ascii="Arial" w:eastAsia="Arial" w:hAnsi="Arial" w:cs="Arial"/>
          <w:sz w:val="20"/>
          <w:szCs w:val="20"/>
          <w:lang w:eastAsia="en-US"/>
          <w14:ligatures w14:val="none"/>
        </w:rPr>
      </w:pPr>
      <w:r>
        <w:rPr>
          <w:rFonts w:ascii="Arial" w:eastAsia="Arial" w:hAnsi="Arial" w:cs="Arial"/>
          <w:sz w:val="20"/>
          <w:szCs w:val="20"/>
          <w:lang w:eastAsia="en-US"/>
          <w14:ligatures w14:val="none"/>
        </w:rPr>
        <w:t xml:space="preserve"> - если участнику не назначена негосударственная пенсия и при этом участнику или его правопреемнику не установлена выкупная сумма по пенсионному договору, то размер гарантийного возмещения устанавливается в размере остатка средств на пенсионном счете, но не более 2,8 млн. руб.;</w:t>
      </w:r>
    </w:p>
    <w:p w14:paraId="2F7E9721" w14:textId="77777777" w:rsidR="003D11BB" w:rsidRDefault="002C3953">
      <w:pPr>
        <w:pStyle w:val="ConsPlusNormal"/>
        <w:spacing w:line="360" w:lineRule="auto"/>
        <w:ind w:firstLine="709"/>
        <w:jc w:val="both"/>
        <w:rPr>
          <w:rFonts w:ascii="Arial" w:eastAsia="Arial" w:hAnsi="Arial" w:cs="Arial"/>
          <w:sz w:val="20"/>
          <w:szCs w:val="20"/>
          <w:lang w:eastAsia="en-US"/>
          <w14:ligatures w14:val="none"/>
        </w:rPr>
      </w:pPr>
      <w:r>
        <w:rPr>
          <w:rFonts w:ascii="Arial" w:eastAsia="Arial" w:hAnsi="Arial" w:cs="Arial"/>
          <w:sz w:val="20"/>
          <w:szCs w:val="20"/>
          <w:lang w:eastAsia="en-US"/>
          <w14:ligatures w14:val="none"/>
        </w:rPr>
        <w:t>- если участнику (его правопреемнику) установлена, но не выплачена выкупная сумма по пенсионному договору, то размер гарантийного возмещения устанавливается в размере выкупной суммы, но не более остатка средств на пенсионном счете и не более 2,8 млн. руб.;</w:t>
      </w:r>
    </w:p>
    <w:p w14:paraId="2678A422" w14:textId="77777777" w:rsidR="003D11BB" w:rsidRDefault="002C3953">
      <w:pPr>
        <w:pStyle w:val="ConsPlusNormal"/>
        <w:spacing w:line="360" w:lineRule="auto"/>
        <w:ind w:firstLine="709"/>
        <w:jc w:val="both"/>
        <w:rPr>
          <w:rFonts w:ascii="Arial" w:eastAsia="Arial" w:hAnsi="Arial" w:cs="Arial"/>
          <w:sz w:val="20"/>
          <w:szCs w:val="20"/>
          <w:lang w:eastAsia="en-US"/>
          <w14:ligatures w14:val="none"/>
        </w:rPr>
      </w:pPr>
      <w:r>
        <w:rPr>
          <w:rFonts w:ascii="Arial" w:eastAsia="Arial" w:hAnsi="Arial" w:cs="Arial"/>
          <w:sz w:val="20"/>
          <w:szCs w:val="20"/>
          <w:lang w:eastAsia="en-US"/>
          <w14:ligatures w14:val="none"/>
        </w:rPr>
        <w:t>- если участнику назначена негосударственная пенсия и при этом участнику или его правопреемнику не установлена выкупная сумма по пенсионному договору, то размер гарантийного возмещения устанавливается в размере суммы достаточной для выплаты негосударственной пенсии участнику с той же периодичностью, на тот же срок и в том же размере, но не более четырехкратного размера социальной пенсии. Размер социальной пенсии можно узнать в отделении Социального фонда России или по запросу на сайте Социального фонда России.</w:t>
      </w:r>
    </w:p>
    <w:p w14:paraId="7D3D6957"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Организация приема обращений вкладчиков (участников)</w:t>
      </w:r>
    </w:p>
    <w:p w14:paraId="37FF2944" w14:textId="77777777" w:rsidR="003D11BB" w:rsidRDefault="002C3953">
      <w:pPr>
        <w:spacing w:after="0" w:line="360" w:lineRule="auto"/>
        <w:ind w:firstLine="708"/>
        <w:rPr>
          <w:rFonts w:ascii="Arial" w:hAnsi="Arial" w:cs="Arial"/>
          <w:color w:val="000000"/>
          <w:sz w:val="20"/>
          <w:szCs w:val="20"/>
        </w:rPr>
      </w:pPr>
      <w:r>
        <w:rPr>
          <w:rFonts w:ascii="Arial" w:hAnsi="Arial" w:cs="Arial"/>
          <w:color w:val="000000"/>
          <w:sz w:val="20"/>
          <w:szCs w:val="20"/>
        </w:rPr>
        <w:t>Обращения вкладчиков (участников) в Фонд могут быть направлены:</w:t>
      </w:r>
    </w:p>
    <w:p w14:paraId="52DED684" w14:textId="5A32D04B" w:rsidR="003D11BB" w:rsidRDefault="002C3953">
      <w:pPr>
        <w:spacing w:after="0" w:line="360" w:lineRule="auto"/>
        <w:ind w:firstLine="708"/>
        <w:rPr>
          <w:rFonts w:ascii="Arial" w:hAnsi="Arial" w:cs="Arial"/>
          <w:color w:val="000000"/>
          <w:sz w:val="20"/>
          <w:szCs w:val="20"/>
        </w:rPr>
      </w:pPr>
      <w:r>
        <w:rPr>
          <w:rFonts w:ascii="Arial" w:hAnsi="Arial" w:cs="Arial"/>
          <w:color w:val="000000"/>
          <w:sz w:val="20"/>
          <w:szCs w:val="20"/>
        </w:rPr>
        <w:t>1. По электронной почте</w:t>
      </w:r>
      <w:r w:rsidR="003B73E8">
        <w:rPr>
          <w:rFonts w:ascii="Arial" w:hAnsi="Arial" w:cs="Arial"/>
          <w:color w:val="000000"/>
          <w:sz w:val="20"/>
          <w:szCs w:val="20"/>
        </w:rPr>
        <w:t>:</w:t>
      </w:r>
      <w:r>
        <w:rPr>
          <w:rFonts w:ascii="Arial" w:hAnsi="Arial" w:cs="Arial"/>
          <w:color w:val="000000"/>
          <w:sz w:val="20"/>
          <w:szCs w:val="20"/>
        </w:rPr>
        <w:t xml:space="preserve"> </w:t>
      </w:r>
      <w:hyperlink r:id="rId9" w:tooltip="mailto:info@rostecnpf.ru" w:history="1">
        <w:r>
          <w:rPr>
            <w:rStyle w:val="af4"/>
            <w:rFonts w:ascii="Arial" w:hAnsi="Arial" w:cs="Arial"/>
            <w:sz w:val="20"/>
            <w:szCs w:val="20"/>
          </w:rPr>
          <w:t>info@rostecnpf.ru</w:t>
        </w:r>
      </w:hyperlink>
      <w:r>
        <w:rPr>
          <w:rFonts w:ascii="Arial" w:hAnsi="Arial" w:cs="Arial"/>
          <w:color w:val="000000"/>
          <w:sz w:val="20"/>
          <w:szCs w:val="20"/>
        </w:rPr>
        <w:t xml:space="preserve">. </w:t>
      </w:r>
    </w:p>
    <w:p w14:paraId="49D8645D" w14:textId="6A6DAB47" w:rsidR="003D11BB" w:rsidRDefault="002C3953">
      <w:pPr>
        <w:spacing w:after="0" w:line="360" w:lineRule="auto"/>
        <w:ind w:firstLine="708"/>
        <w:rPr>
          <w:rFonts w:ascii="Arial" w:hAnsi="Arial" w:cs="Arial"/>
          <w:color w:val="000000"/>
          <w:sz w:val="20"/>
          <w:szCs w:val="20"/>
        </w:rPr>
      </w:pPr>
      <w:r>
        <w:rPr>
          <w:rFonts w:ascii="Arial" w:hAnsi="Arial" w:cs="Arial"/>
          <w:color w:val="000000"/>
          <w:sz w:val="20"/>
          <w:szCs w:val="20"/>
        </w:rPr>
        <w:t>2. По телефон</w:t>
      </w:r>
      <w:r w:rsidR="0024015A">
        <w:rPr>
          <w:rFonts w:ascii="Arial" w:hAnsi="Arial" w:cs="Arial"/>
          <w:color w:val="000000"/>
          <w:sz w:val="20"/>
          <w:szCs w:val="20"/>
        </w:rPr>
        <w:t>у</w:t>
      </w:r>
      <w:r>
        <w:rPr>
          <w:rFonts w:ascii="Arial" w:hAnsi="Arial" w:cs="Arial"/>
          <w:color w:val="000000"/>
          <w:sz w:val="20"/>
          <w:szCs w:val="20"/>
        </w:rPr>
        <w:t xml:space="preserve"> Фонда</w:t>
      </w:r>
      <w:r w:rsidR="003B73E8">
        <w:rPr>
          <w:rFonts w:ascii="Arial" w:hAnsi="Arial" w:cs="Arial"/>
          <w:color w:val="000000"/>
          <w:sz w:val="20"/>
          <w:szCs w:val="20"/>
        </w:rPr>
        <w:t>:</w:t>
      </w:r>
      <w:r>
        <w:rPr>
          <w:rFonts w:ascii="Arial" w:hAnsi="Arial" w:cs="Arial"/>
          <w:color w:val="000000"/>
          <w:sz w:val="20"/>
          <w:szCs w:val="20"/>
        </w:rPr>
        <w:t xml:space="preserve"> </w:t>
      </w:r>
      <w:bookmarkStart w:id="0" w:name="_Hlk82609944"/>
      <w:r>
        <w:rPr>
          <w:rFonts w:ascii="Arial" w:hAnsi="Arial" w:cs="Arial"/>
          <w:color w:val="000000"/>
          <w:sz w:val="20"/>
          <w:szCs w:val="20"/>
        </w:rPr>
        <w:t>8 800-600-89-15</w:t>
      </w:r>
      <w:bookmarkEnd w:id="0"/>
      <w:r>
        <w:rPr>
          <w:rFonts w:ascii="Arial" w:hAnsi="Arial" w:cs="Arial"/>
          <w:color w:val="000000"/>
          <w:sz w:val="20"/>
          <w:szCs w:val="20"/>
        </w:rPr>
        <w:t>.</w:t>
      </w:r>
    </w:p>
    <w:p w14:paraId="47F428AB" w14:textId="77777777" w:rsidR="0024015A" w:rsidRPr="0024015A" w:rsidRDefault="0024015A" w:rsidP="0024015A">
      <w:pPr>
        <w:spacing w:after="0" w:line="360" w:lineRule="auto"/>
        <w:ind w:firstLine="708"/>
        <w:rPr>
          <w:rFonts w:ascii="Arial" w:hAnsi="Arial" w:cs="Arial"/>
          <w:color w:val="000000"/>
          <w:sz w:val="20"/>
          <w:szCs w:val="20"/>
        </w:rPr>
      </w:pPr>
      <w:r w:rsidRPr="0024015A">
        <w:rPr>
          <w:rFonts w:ascii="Arial" w:hAnsi="Arial" w:cs="Arial"/>
          <w:color w:val="000000"/>
          <w:sz w:val="20"/>
          <w:szCs w:val="20"/>
        </w:rPr>
        <w:t>3. С использованием информационно-телекоммуникационной сети Интернет:</w:t>
      </w:r>
    </w:p>
    <w:p w14:paraId="7CC91570" w14:textId="77777777" w:rsidR="0024015A" w:rsidRPr="0024015A" w:rsidRDefault="0024015A" w:rsidP="0024015A">
      <w:pPr>
        <w:spacing w:after="0" w:line="360" w:lineRule="auto"/>
        <w:ind w:firstLine="708"/>
        <w:rPr>
          <w:rFonts w:ascii="Arial" w:hAnsi="Arial" w:cs="Arial"/>
          <w:color w:val="000000"/>
          <w:sz w:val="20"/>
          <w:szCs w:val="20"/>
        </w:rPr>
      </w:pPr>
      <w:r w:rsidRPr="0024015A">
        <w:rPr>
          <w:rFonts w:ascii="Arial" w:hAnsi="Arial" w:cs="Arial"/>
          <w:color w:val="000000"/>
          <w:sz w:val="20"/>
          <w:szCs w:val="20"/>
        </w:rPr>
        <w:t>- через личный кабинет получателя финансовых услуг;</w:t>
      </w:r>
    </w:p>
    <w:p w14:paraId="5F60D044" w14:textId="49486A6A" w:rsidR="0024015A" w:rsidRDefault="0024015A" w:rsidP="0024015A">
      <w:pPr>
        <w:spacing w:after="0" w:line="360" w:lineRule="auto"/>
        <w:ind w:firstLine="708"/>
        <w:rPr>
          <w:rFonts w:ascii="Arial" w:hAnsi="Arial" w:cs="Arial"/>
          <w:color w:val="000000"/>
          <w:sz w:val="20"/>
          <w:szCs w:val="20"/>
        </w:rPr>
      </w:pPr>
      <w:r w:rsidRPr="0024015A">
        <w:rPr>
          <w:rFonts w:ascii="Arial" w:hAnsi="Arial" w:cs="Arial"/>
          <w:color w:val="000000"/>
          <w:sz w:val="20"/>
          <w:szCs w:val="20"/>
        </w:rPr>
        <w:t>- через форму «направить обращение в Фонд» на официальном сайте Фонда.</w:t>
      </w:r>
    </w:p>
    <w:p w14:paraId="0D8F1888" w14:textId="64CEDCCA" w:rsidR="003D11BB" w:rsidRDefault="0024015A">
      <w:pPr>
        <w:spacing w:after="0" w:line="360" w:lineRule="auto"/>
        <w:ind w:firstLine="708"/>
        <w:rPr>
          <w:rFonts w:ascii="Arial" w:hAnsi="Arial" w:cs="Arial"/>
          <w:color w:val="000000"/>
          <w:sz w:val="20"/>
          <w:szCs w:val="20"/>
        </w:rPr>
      </w:pPr>
      <w:r>
        <w:rPr>
          <w:rFonts w:ascii="Arial" w:hAnsi="Arial" w:cs="Arial"/>
          <w:color w:val="000000"/>
          <w:sz w:val="20"/>
          <w:szCs w:val="20"/>
        </w:rPr>
        <w:t>4</w:t>
      </w:r>
      <w:r w:rsidR="002C3953">
        <w:rPr>
          <w:rFonts w:ascii="Arial" w:hAnsi="Arial" w:cs="Arial"/>
          <w:color w:val="000000"/>
          <w:sz w:val="20"/>
          <w:szCs w:val="20"/>
        </w:rPr>
        <w:t>. Почтовым отправлением на адрес: 445028, Самарская обл., г. Тольятти, ул. Фрунзе, д. 24.</w:t>
      </w:r>
    </w:p>
    <w:p w14:paraId="45ACDD97" w14:textId="6EF92F69" w:rsidR="003D11BB" w:rsidRDefault="0024015A">
      <w:pPr>
        <w:spacing w:after="0" w:line="360" w:lineRule="auto"/>
        <w:ind w:firstLine="708"/>
        <w:rPr>
          <w:rFonts w:ascii="Arial" w:hAnsi="Arial" w:cs="Arial"/>
          <w:color w:val="000000"/>
          <w:sz w:val="20"/>
          <w:szCs w:val="20"/>
          <w:highlight w:val="white"/>
        </w:rPr>
      </w:pPr>
      <w:r>
        <w:rPr>
          <w:rFonts w:ascii="Arial" w:hAnsi="Arial" w:cs="Arial"/>
          <w:color w:val="000000"/>
          <w:sz w:val="20"/>
          <w:szCs w:val="20"/>
        </w:rPr>
        <w:t>5</w:t>
      </w:r>
      <w:r w:rsidR="002C3953">
        <w:rPr>
          <w:rFonts w:ascii="Arial" w:hAnsi="Arial" w:cs="Arial"/>
          <w:color w:val="000000"/>
          <w:sz w:val="20"/>
          <w:szCs w:val="20"/>
          <w:highlight w:val="white"/>
        </w:rPr>
        <w:t>. При личном приеме в офисах обслуживания клиентов Фонда по адресам:</w:t>
      </w:r>
    </w:p>
    <w:p w14:paraId="13BDCEF0" w14:textId="77777777" w:rsidR="003D11BB" w:rsidRDefault="002C3953">
      <w:pPr>
        <w:spacing w:after="0" w:line="360" w:lineRule="auto"/>
        <w:ind w:firstLine="708"/>
        <w:rPr>
          <w:rFonts w:ascii="Arial" w:hAnsi="Arial" w:cs="Arial"/>
          <w:color w:val="000000"/>
          <w:sz w:val="20"/>
          <w:szCs w:val="20"/>
        </w:rPr>
      </w:pPr>
      <w:r>
        <w:rPr>
          <w:rFonts w:ascii="Arial" w:hAnsi="Arial" w:cs="Arial"/>
          <w:color w:val="000000"/>
          <w:sz w:val="20"/>
          <w:szCs w:val="20"/>
        </w:rPr>
        <w:t>- г. Тольятти, ул. Фрунзе, д. 24;</w:t>
      </w:r>
    </w:p>
    <w:p w14:paraId="73B881EF" w14:textId="77777777" w:rsidR="003D11BB" w:rsidRDefault="002C3953">
      <w:pPr>
        <w:spacing w:after="0" w:line="360" w:lineRule="auto"/>
        <w:ind w:firstLine="708"/>
        <w:rPr>
          <w:rFonts w:ascii="Arial" w:hAnsi="Arial" w:cs="Arial"/>
          <w:color w:val="000000"/>
          <w:sz w:val="20"/>
          <w:szCs w:val="20"/>
        </w:rPr>
      </w:pPr>
      <w:r>
        <w:rPr>
          <w:rFonts w:ascii="Arial" w:hAnsi="Arial" w:cs="Arial"/>
          <w:color w:val="000000"/>
          <w:sz w:val="20"/>
          <w:szCs w:val="20"/>
        </w:rPr>
        <w:t xml:space="preserve">- г. </w:t>
      </w:r>
      <w:proofErr w:type="spellStart"/>
      <w:r>
        <w:rPr>
          <w:rFonts w:ascii="Arial" w:hAnsi="Arial" w:cs="Arial"/>
          <w:color w:val="000000"/>
          <w:sz w:val="20"/>
          <w:szCs w:val="20"/>
        </w:rPr>
        <w:t>Ростов</w:t>
      </w:r>
      <w:proofErr w:type="spellEnd"/>
      <w:r>
        <w:rPr>
          <w:rFonts w:ascii="Arial" w:hAnsi="Arial" w:cs="Arial"/>
          <w:color w:val="000000"/>
          <w:sz w:val="20"/>
          <w:szCs w:val="20"/>
        </w:rPr>
        <w:t>-на-Дону, ул. Новаторов, д. 3Б;</w:t>
      </w:r>
    </w:p>
    <w:p w14:paraId="085DA93C" w14:textId="77777777" w:rsidR="003D11BB" w:rsidRDefault="002C3953">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Казань, ул. Вишневского, д. 2Е;</w:t>
      </w:r>
    </w:p>
    <w:p w14:paraId="0C321C92" w14:textId="77777777" w:rsidR="003D11BB" w:rsidRDefault="002C3953">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Набережные Челны, ул. Академика Рубаненко, д. 6.</w:t>
      </w:r>
    </w:p>
    <w:p w14:paraId="797EC23C" w14:textId="0C50C16D" w:rsidR="003D11BB" w:rsidRDefault="002C3953">
      <w:pPr>
        <w:spacing w:after="0" w:line="360" w:lineRule="auto"/>
        <w:ind w:firstLine="708"/>
        <w:jc w:val="both"/>
        <w:rPr>
          <w:rFonts w:ascii="Arial" w:hAnsi="Arial" w:cs="Arial"/>
          <w:color w:val="000000"/>
          <w:sz w:val="20"/>
          <w:szCs w:val="20"/>
        </w:rPr>
      </w:pPr>
      <w:r>
        <w:rPr>
          <w:rFonts w:ascii="Arial" w:hAnsi="Arial" w:cs="Arial"/>
          <w:color w:val="000000"/>
          <w:sz w:val="20"/>
          <w:szCs w:val="20"/>
        </w:rPr>
        <w:t xml:space="preserve">Фонд направляет ответ не позднее 15 рабочих дней со дня </w:t>
      </w:r>
      <w:r w:rsidR="0024015A">
        <w:rPr>
          <w:rFonts w:ascii="Arial" w:hAnsi="Arial" w:cs="Arial"/>
          <w:color w:val="000000"/>
          <w:sz w:val="20"/>
          <w:szCs w:val="20"/>
        </w:rPr>
        <w:t xml:space="preserve">регистрации </w:t>
      </w:r>
      <w:r>
        <w:rPr>
          <w:rFonts w:ascii="Arial" w:hAnsi="Arial" w:cs="Arial"/>
          <w:color w:val="000000"/>
          <w:sz w:val="20"/>
          <w:szCs w:val="20"/>
        </w:rPr>
        <w:t xml:space="preserve">обращения, а в случае запроса информации о состоянии пенсионного счета – в течение 10 </w:t>
      </w:r>
      <w:r w:rsidR="0024015A">
        <w:rPr>
          <w:rFonts w:ascii="Arial" w:hAnsi="Arial" w:cs="Arial"/>
          <w:color w:val="000000"/>
          <w:sz w:val="20"/>
          <w:szCs w:val="20"/>
        </w:rPr>
        <w:t xml:space="preserve">календарных </w:t>
      </w:r>
      <w:r>
        <w:rPr>
          <w:rFonts w:ascii="Arial" w:hAnsi="Arial" w:cs="Arial"/>
          <w:color w:val="000000"/>
          <w:sz w:val="20"/>
          <w:szCs w:val="20"/>
        </w:rPr>
        <w:t>дней со дня обращения.</w:t>
      </w:r>
    </w:p>
    <w:p w14:paraId="0EEE76A7" w14:textId="77777777" w:rsidR="003D11BB" w:rsidRDefault="002C3953">
      <w:pPr>
        <w:spacing w:after="0" w:line="360" w:lineRule="auto"/>
        <w:ind w:firstLine="708"/>
        <w:jc w:val="both"/>
        <w:rPr>
          <w:rFonts w:ascii="Arial" w:hAnsi="Arial" w:cs="Arial"/>
          <w:color w:val="000000"/>
          <w:sz w:val="20"/>
          <w:szCs w:val="20"/>
        </w:rPr>
      </w:pPr>
      <w:r>
        <w:rPr>
          <w:rFonts w:ascii="Arial" w:hAnsi="Arial" w:cs="Arial"/>
          <w:color w:val="000000"/>
          <w:sz w:val="20"/>
          <w:szCs w:val="20"/>
        </w:rPr>
        <w:t>Организации, осуществляющие надзор за деятельностью негосударственных пенсионных фондов:</w:t>
      </w:r>
    </w:p>
    <w:p w14:paraId="6D4AAC12" w14:textId="77777777" w:rsidR="003D11BB" w:rsidRDefault="002C3953">
      <w:pPr>
        <w:spacing w:after="0" w:line="360" w:lineRule="auto"/>
        <w:ind w:firstLine="708"/>
        <w:jc w:val="both"/>
        <w:rPr>
          <w:rFonts w:ascii="Arial" w:hAnsi="Arial" w:cs="Arial"/>
          <w:color w:val="000000"/>
          <w:sz w:val="20"/>
          <w:szCs w:val="20"/>
        </w:rPr>
      </w:pPr>
      <w:r>
        <w:rPr>
          <w:rFonts w:ascii="Arial" w:hAnsi="Arial" w:cs="Arial"/>
          <w:color w:val="000000"/>
          <w:sz w:val="20"/>
          <w:szCs w:val="20"/>
        </w:rPr>
        <w:t>Служба Банка России по защите прав потребителей и обеспечению доступности финансовых услуг:</w:t>
      </w:r>
    </w:p>
    <w:p w14:paraId="64B832B6" w14:textId="77777777" w:rsidR="003D11BB" w:rsidRDefault="00000000">
      <w:pPr>
        <w:spacing w:after="0" w:line="360" w:lineRule="auto"/>
        <w:ind w:firstLine="708"/>
        <w:jc w:val="both"/>
        <w:rPr>
          <w:rFonts w:ascii="Arial" w:hAnsi="Arial" w:cs="Arial"/>
          <w:color w:val="000000"/>
          <w:sz w:val="20"/>
          <w:szCs w:val="20"/>
        </w:rPr>
      </w:pPr>
      <w:hyperlink r:id="rId10" w:tooltip="http://www.cbr.ru" w:history="1">
        <w:r w:rsidR="002C3953">
          <w:rPr>
            <w:rStyle w:val="af4"/>
            <w:rFonts w:ascii="Arial" w:hAnsi="Arial" w:cs="Arial"/>
            <w:sz w:val="20"/>
            <w:szCs w:val="20"/>
          </w:rPr>
          <w:t>www.cbr.ru</w:t>
        </w:r>
      </w:hyperlink>
      <w:r w:rsidR="002C3953">
        <w:rPr>
          <w:rFonts w:ascii="Arial" w:hAnsi="Arial" w:cs="Arial"/>
          <w:color w:val="000000"/>
          <w:sz w:val="20"/>
          <w:szCs w:val="20"/>
        </w:rPr>
        <w:t xml:space="preserve">; </w:t>
      </w:r>
      <w:hyperlink r:id="rId11" w:tooltip="http://www.cbr.ru/protection_rights" w:history="1">
        <w:r w:rsidR="002C3953">
          <w:rPr>
            <w:rStyle w:val="af4"/>
            <w:rFonts w:ascii="Arial" w:hAnsi="Arial" w:cs="Arial"/>
            <w:sz w:val="20"/>
            <w:szCs w:val="20"/>
          </w:rPr>
          <w:t>www.cbr.ru/protection_rights</w:t>
        </w:r>
      </w:hyperlink>
      <w:r w:rsidR="002C3953">
        <w:rPr>
          <w:rFonts w:ascii="Arial" w:hAnsi="Arial" w:cs="Arial"/>
          <w:color w:val="000000"/>
          <w:sz w:val="20"/>
          <w:szCs w:val="20"/>
        </w:rPr>
        <w:t xml:space="preserve">. </w:t>
      </w:r>
    </w:p>
    <w:p w14:paraId="097E59D8" w14:textId="7D64B50A" w:rsidR="003D11BB" w:rsidRDefault="002C3953">
      <w:pPr>
        <w:spacing w:after="0" w:line="360" w:lineRule="auto"/>
        <w:ind w:firstLine="708"/>
        <w:jc w:val="both"/>
        <w:rPr>
          <w:rFonts w:ascii="Arial" w:hAnsi="Arial" w:cs="Arial"/>
          <w:color w:val="000000"/>
          <w:sz w:val="20"/>
          <w:szCs w:val="20"/>
        </w:rPr>
      </w:pPr>
      <w:bookmarkStart w:id="1" w:name="_Hlk95144595"/>
      <w:r>
        <w:rPr>
          <w:rFonts w:ascii="Arial" w:hAnsi="Arial" w:cs="Arial"/>
          <w:color w:val="000000"/>
          <w:sz w:val="20"/>
          <w:szCs w:val="20"/>
        </w:rPr>
        <w:t>Саморегулируемая организация, членом которой является Фонд</w:t>
      </w:r>
      <w:r w:rsidR="003B73E8">
        <w:rPr>
          <w:rFonts w:ascii="Arial" w:hAnsi="Arial" w:cs="Arial"/>
          <w:color w:val="000000"/>
          <w:sz w:val="20"/>
          <w:szCs w:val="20"/>
        </w:rPr>
        <w:t>:</w:t>
      </w:r>
      <w:r>
        <w:rPr>
          <w:rFonts w:ascii="Arial" w:hAnsi="Arial" w:cs="Arial"/>
          <w:color w:val="000000"/>
          <w:sz w:val="20"/>
          <w:szCs w:val="20"/>
        </w:rPr>
        <w:t xml:space="preserve"> </w:t>
      </w:r>
      <w:r w:rsidR="003B73E8">
        <w:rPr>
          <w:rFonts w:ascii="Arial" w:hAnsi="Arial" w:cs="Arial"/>
          <w:color w:val="000000"/>
          <w:sz w:val="20"/>
          <w:szCs w:val="20"/>
        </w:rPr>
        <w:t>С</w:t>
      </w:r>
      <w:r>
        <w:rPr>
          <w:rFonts w:ascii="Arial" w:hAnsi="Arial" w:cs="Arial"/>
          <w:color w:val="000000"/>
          <w:sz w:val="20"/>
          <w:szCs w:val="20"/>
        </w:rPr>
        <w:t>аморегулируемая  организация Национальная ассоциация негосударственных пенсионных фондов (НАПФ),</w:t>
      </w:r>
      <w:r>
        <w:rPr>
          <w:rFonts w:ascii="Arial" w:hAnsi="Arial" w:cs="Arial"/>
          <w:color w:val="212121"/>
          <w:sz w:val="20"/>
          <w:szCs w:val="20"/>
          <w:shd w:val="clear" w:color="auto" w:fill="FFFFFF"/>
        </w:rPr>
        <w:t xml:space="preserve"> адрес официального сайта в сети Интернет</w:t>
      </w:r>
      <w:r w:rsidR="003B73E8">
        <w:rPr>
          <w:rFonts w:ascii="Arial" w:hAnsi="Arial" w:cs="Arial"/>
          <w:color w:val="212121"/>
          <w:sz w:val="20"/>
          <w:szCs w:val="20"/>
          <w:shd w:val="clear" w:color="auto" w:fill="FFFFFF"/>
        </w:rPr>
        <w:t>:</w:t>
      </w:r>
      <w:r>
        <w:rPr>
          <w:rFonts w:ascii="Arial" w:hAnsi="Arial" w:cs="Arial"/>
          <w:color w:val="212121"/>
          <w:sz w:val="20"/>
          <w:szCs w:val="20"/>
          <w:shd w:val="clear" w:color="auto" w:fill="FFFFFF"/>
        </w:rPr>
        <w:t xml:space="preserve"> </w:t>
      </w:r>
      <w:hyperlink r:id="rId12" w:tooltip="http://www.napf.ru" w:history="1">
        <w:r>
          <w:rPr>
            <w:rStyle w:val="af4"/>
            <w:rFonts w:ascii="Arial" w:hAnsi="Arial" w:cs="Arial"/>
            <w:sz w:val="20"/>
            <w:szCs w:val="20"/>
            <w:shd w:val="clear" w:color="auto" w:fill="FFFFFF"/>
          </w:rPr>
          <w:t>www.napf.ru</w:t>
        </w:r>
      </w:hyperlink>
      <w:r>
        <w:rPr>
          <w:rFonts w:ascii="Arial" w:hAnsi="Arial" w:cs="Arial"/>
          <w:color w:val="212121"/>
          <w:sz w:val="20"/>
          <w:szCs w:val="20"/>
          <w:shd w:val="clear" w:color="auto" w:fill="FFFFFF"/>
        </w:rPr>
        <w:t>,</w:t>
      </w:r>
      <w:r>
        <w:rPr>
          <w:rFonts w:ascii="Arial" w:hAnsi="Arial" w:cs="Arial"/>
          <w:color w:val="000000"/>
          <w:sz w:val="20"/>
          <w:szCs w:val="20"/>
        </w:rPr>
        <w:t xml:space="preserve"> адрес электронной почты</w:t>
      </w:r>
      <w:r w:rsidR="003B73E8">
        <w:rPr>
          <w:rFonts w:ascii="Arial" w:hAnsi="Arial" w:cs="Arial"/>
          <w:color w:val="000000"/>
          <w:sz w:val="20"/>
          <w:szCs w:val="20"/>
        </w:rPr>
        <w:t>:</w:t>
      </w:r>
      <w:r>
        <w:rPr>
          <w:rFonts w:ascii="Arial" w:hAnsi="Arial" w:cs="Arial"/>
          <w:color w:val="000000"/>
          <w:sz w:val="20"/>
          <w:szCs w:val="20"/>
        </w:rPr>
        <w:t xml:space="preserve"> </w:t>
      </w:r>
      <w:hyperlink r:id="rId13" w:tooltip="mailto:info@napf.ru" w:history="1">
        <w:r>
          <w:rPr>
            <w:rStyle w:val="af4"/>
            <w:rFonts w:ascii="Arial" w:hAnsi="Arial" w:cs="Arial"/>
            <w:sz w:val="20"/>
            <w:szCs w:val="20"/>
          </w:rPr>
          <w:t>info@</w:t>
        </w:r>
        <w:r>
          <w:rPr>
            <w:rStyle w:val="af4"/>
            <w:rFonts w:ascii="Arial" w:hAnsi="Arial" w:cs="Arial"/>
            <w:sz w:val="20"/>
            <w:szCs w:val="20"/>
            <w:lang w:val="en-US"/>
          </w:rPr>
          <w:t>napf</w:t>
        </w:r>
        <w:r>
          <w:rPr>
            <w:rStyle w:val="af4"/>
            <w:rFonts w:ascii="Arial" w:hAnsi="Arial" w:cs="Arial"/>
            <w:sz w:val="20"/>
            <w:szCs w:val="20"/>
          </w:rPr>
          <w:t>.</w:t>
        </w:r>
        <w:proofErr w:type="spellStart"/>
        <w:r>
          <w:rPr>
            <w:rStyle w:val="af4"/>
            <w:rFonts w:ascii="Arial" w:hAnsi="Arial" w:cs="Arial"/>
            <w:sz w:val="20"/>
            <w:szCs w:val="20"/>
            <w:lang w:val="en-US"/>
          </w:rPr>
          <w:t>ru</w:t>
        </w:r>
        <w:proofErr w:type="spellEnd"/>
      </w:hyperlink>
      <w:r>
        <w:rPr>
          <w:rFonts w:ascii="Arial" w:hAnsi="Arial" w:cs="Arial"/>
          <w:color w:val="000000"/>
          <w:sz w:val="20"/>
          <w:szCs w:val="20"/>
        </w:rPr>
        <w:t>.</w:t>
      </w:r>
      <w:bookmarkEnd w:id="1"/>
    </w:p>
    <w:p w14:paraId="4F497242" w14:textId="77777777" w:rsidR="003D11BB" w:rsidRDefault="002C3953">
      <w:pPr>
        <w:spacing w:after="0" w:line="360" w:lineRule="auto"/>
        <w:jc w:val="center"/>
        <w:rPr>
          <w:rFonts w:ascii="Arial" w:hAnsi="Arial" w:cs="Arial"/>
          <w:b/>
          <w:bCs/>
          <w:sz w:val="20"/>
          <w:szCs w:val="20"/>
        </w:rPr>
      </w:pPr>
      <w:r>
        <w:rPr>
          <w:rFonts w:ascii="Arial" w:hAnsi="Arial" w:cs="Arial"/>
          <w:b/>
          <w:bCs/>
          <w:sz w:val="20"/>
          <w:szCs w:val="20"/>
        </w:rPr>
        <w:t>Дополнительная релевантная информация</w:t>
      </w:r>
    </w:p>
    <w:p w14:paraId="4FB1300F" w14:textId="77777777" w:rsidR="003D11BB" w:rsidRDefault="002C3953">
      <w:pPr>
        <w:spacing w:after="0" w:line="360" w:lineRule="auto"/>
        <w:ind w:firstLine="708"/>
        <w:jc w:val="both"/>
        <w:rPr>
          <w:rFonts w:ascii="Arial" w:hAnsi="Arial" w:cs="Arial"/>
          <w:sz w:val="20"/>
          <w:szCs w:val="20"/>
        </w:rPr>
      </w:pPr>
      <w:r>
        <w:rPr>
          <w:rFonts w:ascii="Arial" w:hAnsi="Arial" w:cs="Arial"/>
          <w:sz w:val="20"/>
          <w:szCs w:val="20"/>
        </w:rPr>
        <w:t>Условиями пенсионного договора предусмотрена обязанность вкладчика (участника) своевременно информировать Фонд об изменении своих данных. При заключении пенсионного договора вкладчиком устанавливаются условия правопреемства, если пенсионной схемой, на основании которой заключается пенсионный договор, правопреемство предусмотрено.</w:t>
      </w:r>
    </w:p>
    <w:sectPr w:rsidR="003D11BB">
      <w:headerReference w:type="default" r:id="rId14"/>
      <w:pgSz w:w="11906" w:h="16838"/>
      <w:pgMar w:top="720" w:right="566" w:bottom="527"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A171" w14:textId="77777777" w:rsidR="00936B43" w:rsidRDefault="00936B43">
      <w:pPr>
        <w:spacing w:after="0" w:line="240" w:lineRule="auto"/>
      </w:pPr>
      <w:r>
        <w:separator/>
      </w:r>
    </w:p>
  </w:endnote>
  <w:endnote w:type="continuationSeparator" w:id="0">
    <w:p w14:paraId="700311A3" w14:textId="77777777" w:rsidR="00936B43" w:rsidRDefault="0093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C7221" w14:textId="77777777" w:rsidR="00936B43" w:rsidRDefault="00936B43">
      <w:pPr>
        <w:spacing w:after="0" w:line="240" w:lineRule="auto"/>
      </w:pPr>
      <w:r>
        <w:separator/>
      </w:r>
    </w:p>
  </w:footnote>
  <w:footnote w:type="continuationSeparator" w:id="0">
    <w:p w14:paraId="133D5C59" w14:textId="77777777" w:rsidR="00936B43" w:rsidRDefault="0093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206132"/>
      <w:docPartObj>
        <w:docPartGallery w:val="Page Numbers (Top of Page)"/>
        <w:docPartUnique/>
      </w:docPartObj>
    </w:sdtPr>
    <w:sdtContent>
      <w:p w14:paraId="5ADB03DF" w14:textId="77777777" w:rsidR="003D11BB" w:rsidRDefault="002C3953">
        <w:pPr>
          <w:pStyle w:val="aff0"/>
          <w:jc w:val="cente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30BE"/>
    <w:multiLevelType w:val="hybridMultilevel"/>
    <w:tmpl w:val="2F7E3ABC"/>
    <w:lvl w:ilvl="0" w:tplc="8902780E">
      <w:start w:val="1"/>
      <w:numFmt w:val="bullet"/>
      <w:lvlText w:val="˗"/>
      <w:lvlJc w:val="left"/>
      <w:pPr>
        <w:ind w:left="1429" w:hanging="360"/>
      </w:pPr>
      <w:rPr>
        <w:rFonts w:ascii="Times New Roman" w:hAnsi="Times New Roman" w:cs="Times New Roman" w:hint="default"/>
      </w:rPr>
    </w:lvl>
    <w:lvl w:ilvl="1" w:tplc="4556715E">
      <w:start w:val="1"/>
      <w:numFmt w:val="bullet"/>
      <w:lvlText w:val="o"/>
      <w:lvlJc w:val="left"/>
      <w:pPr>
        <w:ind w:left="2149" w:hanging="360"/>
      </w:pPr>
      <w:rPr>
        <w:rFonts w:ascii="Courier New" w:hAnsi="Courier New" w:cs="Courier New" w:hint="default"/>
      </w:rPr>
    </w:lvl>
    <w:lvl w:ilvl="2" w:tplc="8CB0CCBC">
      <w:start w:val="1"/>
      <w:numFmt w:val="bullet"/>
      <w:lvlText w:val=""/>
      <w:lvlJc w:val="left"/>
      <w:pPr>
        <w:ind w:left="2869" w:hanging="360"/>
      </w:pPr>
      <w:rPr>
        <w:rFonts w:ascii="Wingdings" w:hAnsi="Wingdings" w:hint="default"/>
      </w:rPr>
    </w:lvl>
    <w:lvl w:ilvl="3" w:tplc="CAAE105C">
      <w:start w:val="1"/>
      <w:numFmt w:val="bullet"/>
      <w:lvlText w:val=""/>
      <w:lvlJc w:val="left"/>
      <w:pPr>
        <w:ind w:left="3589" w:hanging="360"/>
      </w:pPr>
      <w:rPr>
        <w:rFonts w:ascii="Symbol" w:hAnsi="Symbol" w:hint="default"/>
      </w:rPr>
    </w:lvl>
    <w:lvl w:ilvl="4" w:tplc="1076D202">
      <w:start w:val="1"/>
      <w:numFmt w:val="bullet"/>
      <w:lvlText w:val="o"/>
      <w:lvlJc w:val="left"/>
      <w:pPr>
        <w:ind w:left="4309" w:hanging="360"/>
      </w:pPr>
      <w:rPr>
        <w:rFonts w:ascii="Courier New" w:hAnsi="Courier New" w:cs="Courier New" w:hint="default"/>
      </w:rPr>
    </w:lvl>
    <w:lvl w:ilvl="5" w:tplc="35462D32">
      <w:start w:val="1"/>
      <w:numFmt w:val="bullet"/>
      <w:lvlText w:val=""/>
      <w:lvlJc w:val="left"/>
      <w:pPr>
        <w:ind w:left="5029" w:hanging="360"/>
      </w:pPr>
      <w:rPr>
        <w:rFonts w:ascii="Wingdings" w:hAnsi="Wingdings" w:hint="default"/>
      </w:rPr>
    </w:lvl>
    <w:lvl w:ilvl="6" w:tplc="641610D6">
      <w:start w:val="1"/>
      <w:numFmt w:val="bullet"/>
      <w:lvlText w:val=""/>
      <w:lvlJc w:val="left"/>
      <w:pPr>
        <w:ind w:left="5749" w:hanging="360"/>
      </w:pPr>
      <w:rPr>
        <w:rFonts w:ascii="Symbol" w:hAnsi="Symbol" w:hint="default"/>
      </w:rPr>
    </w:lvl>
    <w:lvl w:ilvl="7" w:tplc="4C0AAC3E">
      <w:start w:val="1"/>
      <w:numFmt w:val="bullet"/>
      <w:lvlText w:val="o"/>
      <w:lvlJc w:val="left"/>
      <w:pPr>
        <w:ind w:left="6469" w:hanging="360"/>
      </w:pPr>
      <w:rPr>
        <w:rFonts w:ascii="Courier New" w:hAnsi="Courier New" w:cs="Courier New" w:hint="default"/>
      </w:rPr>
    </w:lvl>
    <w:lvl w:ilvl="8" w:tplc="626E9266">
      <w:start w:val="1"/>
      <w:numFmt w:val="bullet"/>
      <w:lvlText w:val=""/>
      <w:lvlJc w:val="left"/>
      <w:pPr>
        <w:ind w:left="7189" w:hanging="360"/>
      </w:pPr>
      <w:rPr>
        <w:rFonts w:ascii="Wingdings" w:hAnsi="Wingdings" w:hint="default"/>
      </w:rPr>
    </w:lvl>
  </w:abstractNum>
  <w:abstractNum w:abstractNumId="1" w15:restartNumberingAfterBreak="0">
    <w:nsid w:val="27E06B93"/>
    <w:multiLevelType w:val="hybridMultilevel"/>
    <w:tmpl w:val="692646C0"/>
    <w:lvl w:ilvl="0" w:tplc="8D3A83B8">
      <w:start w:val="1"/>
      <w:numFmt w:val="bullet"/>
      <w:lvlText w:val=""/>
      <w:lvlJc w:val="left"/>
      <w:pPr>
        <w:ind w:left="720" w:hanging="360"/>
      </w:pPr>
      <w:rPr>
        <w:rFonts w:ascii="Symbol" w:hAnsi="Symbol" w:hint="default"/>
      </w:rPr>
    </w:lvl>
    <w:lvl w:ilvl="1" w:tplc="CE8A0662">
      <w:start w:val="1"/>
      <w:numFmt w:val="bullet"/>
      <w:lvlText w:val="o"/>
      <w:lvlJc w:val="left"/>
      <w:pPr>
        <w:ind w:left="1440" w:hanging="360"/>
      </w:pPr>
      <w:rPr>
        <w:rFonts w:ascii="Courier New" w:hAnsi="Courier New" w:cs="Courier New" w:hint="default"/>
      </w:rPr>
    </w:lvl>
    <w:lvl w:ilvl="2" w:tplc="53C4142C">
      <w:start w:val="1"/>
      <w:numFmt w:val="bullet"/>
      <w:lvlText w:val=""/>
      <w:lvlJc w:val="left"/>
      <w:pPr>
        <w:ind w:left="2160" w:hanging="360"/>
      </w:pPr>
      <w:rPr>
        <w:rFonts w:ascii="Wingdings" w:hAnsi="Wingdings" w:hint="default"/>
      </w:rPr>
    </w:lvl>
    <w:lvl w:ilvl="3" w:tplc="2CE8360E">
      <w:start w:val="1"/>
      <w:numFmt w:val="bullet"/>
      <w:lvlText w:val=""/>
      <w:lvlJc w:val="left"/>
      <w:pPr>
        <w:ind w:left="2880" w:hanging="360"/>
      </w:pPr>
      <w:rPr>
        <w:rFonts w:ascii="Symbol" w:hAnsi="Symbol" w:hint="default"/>
      </w:rPr>
    </w:lvl>
    <w:lvl w:ilvl="4" w:tplc="40B25C1A">
      <w:start w:val="1"/>
      <w:numFmt w:val="bullet"/>
      <w:lvlText w:val="o"/>
      <w:lvlJc w:val="left"/>
      <w:pPr>
        <w:ind w:left="3600" w:hanging="360"/>
      </w:pPr>
      <w:rPr>
        <w:rFonts w:ascii="Courier New" w:hAnsi="Courier New" w:cs="Courier New" w:hint="default"/>
      </w:rPr>
    </w:lvl>
    <w:lvl w:ilvl="5" w:tplc="E0769DCE">
      <w:start w:val="1"/>
      <w:numFmt w:val="bullet"/>
      <w:lvlText w:val=""/>
      <w:lvlJc w:val="left"/>
      <w:pPr>
        <w:ind w:left="4320" w:hanging="360"/>
      </w:pPr>
      <w:rPr>
        <w:rFonts w:ascii="Wingdings" w:hAnsi="Wingdings" w:hint="default"/>
      </w:rPr>
    </w:lvl>
    <w:lvl w:ilvl="6" w:tplc="5C34D048">
      <w:start w:val="1"/>
      <w:numFmt w:val="bullet"/>
      <w:lvlText w:val=""/>
      <w:lvlJc w:val="left"/>
      <w:pPr>
        <w:ind w:left="5040" w:hanging="360"/>
      </w:pPr>
      <w:rPr>
        <w:rFonts w:ascii="Symbol" w:hAnsi="Symbol" w:hint="default"/>
      </w:rPr>
    </w:lvl>
    <w:lvl w:ilvl="7" w:tplc="126AACFE">
      <w:start w:val="1"/>
      <w:numFmt w:val="bullet"/>
      <w:lvlText w:val="o"/>
      <w:lvlJc w:val="left"/>
      <w:pPr>
        <w:ind w:left="5760" w:hanging="360"/>
      </w:pPr>
      <w:rPr>
        <w:rFonts w:ascii="Courier New" w:hAnsi="Courier New" w:cs="Courier New" w:hint="default"/>
      </w:rPr>
    </w:lvl>
    <w:lvl w:ilvl="8" w:tplc="3912E80A">
      <w:start w:val="1"/>
      <w:numFmt w:val="bullet"/>
      <w:lvlText w:val=""/>
      <w:lvlJc w:val="left"/>
      <w:pPr>
        <w:ind w:left="6480" w:hanging="360"/>
      </w:pPr>
      <w:rPr>
        <w:rFonts w:ascii="Wingdings" w:hAnsi="Wingdings" w:hint="default"/>
      </w:rPr>
    </w:lvl>
  </w:abstractNum>
  <w:abstractNum w:abstractNumId="2" w15:restartNumberingAfterBreak="0">
    <w:nsid w:val="360A59C2"/>
    <w:multiLevelType w:val="hybridMultilevel"/>
    <w:tmpl w:val="6528080C"/>
    <w:lvl w:ilvl="0" w:tplc="36D03072">
      <w:start w:val="1"/>
      <w:numFmt w:val="bullet"/>
      <w:lvlText w:val=""/>
      <w:lvlJc w:val="left"/>
      <w:pPr>
        <w:ind w:left="360" w:hanging="360"/>
      </w:pPr>
      <w:rPr>
        <w:rFonts w:ascii="Symbol" w:hAnsi="Symbol" w:hint="default"/>
      </w:rPr>
    </w:lvl>
    <w:lvl w:ilvl="1" w:tplc="F424C372">
      <w:start w:val="1"/>
      <w:numFmt w:val="bullet"/>
      <w:lvlText w:val="o"/>
      <w:lvlJc w:val="left"/>
      <w:pPr>
        <w:ind w:left="1080" w:hanging="360"/>
      </w:pPr>
      <w:rPr>
        <w:rFonts w:ascii="Courier New" w:hAnsi="Courier New" w:cs="Courier New" w:hint="default"/>
      </w:rPr>
    </w:lvl>
    <w:lvl w:ilvl="2" w:tplc="A8A40ADA">
      <w:start w:val="1"/>
      <w:numFmt w:val="bullet"/>
      <w:lvlText w:val=""/>
      <w:lvlJc w:val="left"/>
      <w:pPr>
        <w:ind w:left="1800" w:hanging="360"/>
      </w:pPr>
      <w:rPr>
        <w:rFonts w:ascii="Wingdings" w:hAnsi="Wingdings" w:hint="default"/>
      </w:rPr>
    </w:lvl>
    <w:lvl w:ilvl="3" w:tplc="91CE0170">
      <w:start w:val="1"/>
      <w:numFmt w:val="bullet"/>
      <w:lvlText w:val=""/>
      <w:lvlJc w:val="left"/>
      <w:pPr>
        <w:ind w:left="2520" w:hanging="360"/>
      </w:pPr>
      <w:rPr>
        <w:rFonts w:ascii="Symbol" w:hAnsi="Symbol" w:hint="default"/>
      </w:rPr>
    </w:lvl>
    <w:lvl w:ilvl="4" w:tplc="82FECA7A">
      <w:start w:val="1"/>
      <w:numFmt w:val="bullet"/>
      <w:lvlText w:val="o"/>
      <w:lvlJc w:val="left"/>
      <w:pPr>
        <w:ind w:left="3240" w:hanging="360"/>
      </w:pPr>
      <w:rPr>
        <w:rFonts w:ascii="Courier New" w:hAnsi="Courier New" w:cs="Courier New" w:hint="default"/>
      </w:rPr>
    </w:lvl>
    <w:lvl w:ilvl="5" w:tplc="38C078AE">
      <w:start w:val="1"/>
      <w:numFmt w:val="bullet"/>
      <w:lvlText w:val=""/>
      <w:lvlJc w:val="left"/>
      <w:pPr>
        <w:ind w:left="3960" w:hanging="360"/>
      </w:pPr>
      <w:rPr>
        <w:rFonts w:ascii="Wingdings" w:hAnsi="Wingdings" w:hint="default"/>
      </w:rPr>
    </w:lvl>
    <w:lvl w:ilvl="6" w:tplc="0BFE5D38">
      <w:start w:val="1"/>
      <w:numFmt w:val="bullet"/>
      <w:lvlText w:val=""/>
      <w:lvlJc w:val="left"/>
      <w:pPr>
        <w:ind w:left="4680" w:hanging="360"/>
      </w:pPr>
      <w:rPr>
        <w:rFonts w:ascii="Symbol" w:hAnsi="Symbol" w:hint="default"/>
      </w:rPr>
    </w:lvl>
    <w:lvl w:ilvl="7" w:tplc="90A2FBA2">
      <w:start w:val="1"/>
      <w:numFmt w:val="bullet"/>
      <w:lvlText w:val="o"/>
      <w:lvlJc w:val="left"/>
      <w:pPr>
        <w:ind w:left="5400" w:hanging="360"/>
      </w:pPr>
      <w:rPr>
        <w:rFonts w:ascii="Courier New" w:hAnsi="Courier New" w:cs="Courier New" w:hint="default"/>
      </w:rPr>
    </w:lvl>
    <w:lvl w:ilvl="8" w:tplc="34920BD4">
      <w:start w:val="1"/>
      <w:numFmt w:val="bullet"/>
      <w:lvlText w:val=""/>
      <w:lvlJc w:val="left"/>
      <w:pPr>
        <w:ind w:left="6120" w:hanging="360"/>
      </w:pPr>
      <w:rPr>
        <w:rFonts w:ascii="Wingdings" w:hAnsi="Wingdings" w:hint="default"/>
      </w:rPr>
    </w:lvl>
  </w:abstractNum>
  <w:abstractNum w:abstractNumId="3" w15:restartNumberingAfterBreak="0">
    <w:nsid w:val="65860E5E"/>
    <w:multiLevelType w:val="hybridMultilevel"/>
    <w:tmpl w:val="C57E17BE"/>
    <w:lvl w:ilvl="0" w:tplc="28CC98F4">
      <w:start w:val="1"/>
      <w:numFmt w:val="bullet"/>
      <w:lvlText w:val=""/>
      <w:lvlJc w:val="left"/>
      <w:pPr>
        <w:ind w:left="360" w:hanging="360"/>
      </w:pPr>
      <w:rPr>
        <w:rFonts w:ascii="Symbol" w:hAnsi="Symbol" w:hint="default"/>
      </w:rPr>
    </w:lvl>
    <w:lvl w:ilvl="1" w:tplc="6F6CEED8">
      <w:start w:val="1"/>
      <w:numFmt w:val="bullet"/>
      <w:lvlText w:val="o"/>
      <w:lvlJc w:val="left"/>
      <w:pPr>
        <w:ind w:left="1080" w:hanging="360"/>
      </w:pPr>
      <w:rPr>
        <w:rFonts w:ascii="Courier New" w:hAnsi="Courier New" w:cs="Courier New" w:hint="default"/>
      </w:rPr>
    </w:lvl>
    <w:lvl w:ilvl="2" w:tplc="98F6AC8A">
      <w:start w:val="1"/>
      <w:numFmt w:val="bullet"/>
      <w:lvlText w:val=""/>
      <w:lvlJc w:val="left"/>
      <w:pPr>
        <w:ind w:left="1800" w:hanging="360"/>
      </w:pPr>
      <w:rPr>
        <w:rFonts w:ascii="Wingdings" w:hAnsi="Wingdings" w:hint="default"/>
      </w:rPr>
    </w:lvl>
    <w:lvl w:ilvl="3" w:tplc="95148AB4">
      <w:start w:val="1"/>
      <w:numFmt w:val="bullet"/>
      <w:lvlText w:val=""/>
      <w:lvlJc w:val="left"/>
      <w:pPr>
        <w:ind w:left="2520" w:hanging="360"/>
      </w:pPr>
      <w:rPr>
        <w:rFonts w:ascii="Symbol" w:hAnsi="Symbol" w:hint="default"/>
      </w:rPr>
    </w:lvl>
    <w:lvl w:ilvl="4" w:tplc="ABDE1758">
      <w:start w:val="1"/>
      <w:numFmt w:val="bullet"/>
      <w:lvlText w:val="o"/>
      <w:lvlJc w:val="left"/>
      <w:pPr>
        <w:ind w:left="3240" w:hanging="360"/>
      </w:pPr>
      <w:rPr>
        <w:rFonts w:ascii="Courier New" w:hAnsi="Courier New" w:cs="Courier New" w:hint="default"/>
      </w:rPr>
    </w:lvl>
    <w:lvl w:ilvl="5" w:tplc="EEFE4104">
      <w:start w:val="1"/>
      <w:numFmt w:val="bullet"/>
      <w:lvlText w:val=""/>
      <w:lvlJc w:val="left"/>
      <w:pPr>
        <w:ind w:left="3960" w:hanging="360"/>
      </w:pPr>
      <w:rPr>
        <w:rFonts w:ascii="Wingdings" w:hAnsi="Wingdings" w:hint="default"/>
      </w:rPr>
    </w:lvl>
    <w:lvl w:ilvl="6" w:tplc="C136A50A">
      <w:start w:val="1"/>
      <w:numFmt w:val="bullet"/>
      <w:lvlText w:val=""/>
      <w:lvlJc w:val="left"/>
      <w:pPr>
        <w:ind w:left="4680" w:hanging="360"/>
      </w:pPr>
      <w:rPr>
        <w:rFonts w:ascii="Symbol" w:hAnsi="Symbol" w:hint="default"/>
      </w:rPr>
    </w:lvl>
    <w:lvl w:ilvl="7" w:tplc="ECF89726">
      <w:start w:val="1"/>
      <w:numFmt w:val="bullet"/>
      <w:lvlText w:val="o"/>
      <w:lvlJc w:val="left"/>
      <w:pPr>
        <w:ind w:left="5400" w:hanging="360"/>
      </w:pPr>
      <w:rPr>
        <w:rFonts w:ascii="Courier New" w:hAnsi="Courier New" w:cs="Courier New" w:hint="default"/>
      </w:rPr>
    </w:lvl>
    <w:lvl w:ilvl="8" w:tplc="2E3C0574">
      <w:start w:val="1"/>
      <w:numFmt w:val="bullet"/>
      <w:lvlText w:val=""/>
      <w:lvlJc w:val="left"/>
      <w:pPr>
        <w:ind w:left="6120" w:hanging="360"/>
      </w:pPr>
      <w:rPr>
        <w:rFonts w:ascii="Wingdings" w:hAnsi="Wingdings" w:hint="default"/>
      </w:rPr>
    </w:lvl>
  </w:abstractNum>
  <w:abstractNum w:abstractNumId="4" w15:restartNumberingAfterBreak="0">
    <w:nsid w:val="6F223356"/>
    <w:multiLevelType w:val="hybridMultilevel"/>
    <w:tmpl w:val="407400B0"/>
    <w:lvl w:ilvl="0" w:tplc="CCE87840">
      <w:start w:val="1"/>
      <w:numFmt w:val="bullet"/>
      <w:lvlText w:val="–"/>
      <w:lvlJc w:val="left"/>
      <w:pPr>
        <w:ind w:left="1417" w:hanging="360"/>
      </w:pPr>
      <w:rPr>
        <w:rFonts w:ascii="Arial" w:eastAsia="Arial" w:hAnsi="Arial" w:cs="Arial" w:hint="default"/>
      </w:rPr>
    </w:lvl>
    <w:lvl w:ilvl="1" w:tplc="C4F2026C">
      <w:start w:val="1"/>
      <w:numFmt w:val="bullet"/>
      <w:lvlText w:val="o"/>
      <w:lvlJc w:val="left"/>
      <w:pPr>
        <w:ind w:left="2137" w:hanging="360"/>
      </w:pPr>
      <w:rPr>
        <w:rFonts w:ascii="Courier New" w:eastAsia="Courier New" w:hAnsi="Courier New" w:cs="Courier New" w:hint="default"/>
      </w:rPr>
    </w:lvl>
    <w:lvl w:ilvl="2" w:tplc="53EAA018">
      <w:start w:val="1"/>
      <w:numFmt w:val="bullet"/>
      <w:lvlText w:val="§"/>
      <w:lvlJc w:val="left"/>
      <w:pPr>
        <w:ind w:left="2857" w:hanging="360"/>
      </w:pPr>
      <w:rPr>
        <w:rFonts w:ascii="Wingdings" w:eastAsia="Wingdings" w:hAnsi="Wingdings" w:cs="Wingdings" w:hint="default"/>
      </w:rPr>
    </w:lvl>
    <w:lvl w:ilvl="3" w:tplc="64F45100">
      <w:start w:val="1"/>
      <w:numFmt w:val="bullet"/>
      <w:lvlText w:val="·"/>
      <w:lvlJc w:val="left"/>
      <w:pPr>
        <w:ind w:left="3577" w:hanging="360"/>
      </w:pPr>
      <w:rPr>
        <w:rFonts w:ascii="Symbol" w:eastAsia="Symbol" w:hAnsi="Symbol" w:cs="Symbol" w:hint="default"/>
      </w:rPr>
    </w:lvl>
    <w:lvl w:ilvl="4" w:tplc="D73EFD9E">
      <w:start w:val="1"/>
      <w:numFmt w:val="bullet"/>
      <w:lvlText w:val="o"/>
      <w:lvlJc w:val="left"/>
      <w:pPr>
        <w:ind w:left="4297" w:hanging="360"/>
      </w:pPr>
      <w:rPr>
        <w:rFonts w:ascii="Courier New" w:eastAsia="Courier New" w:hAnsi="Courier New" w:cs="Courier New" w:hint="default"/>
      </w:rPr>
    </w:lvl>
    <w:lvl w:ilvl="5" w:tplc="2218349C">
      <w:start w:val="1"/>
      <w:numFmt w:val="bullet"/>
      <w:lvlText w:val="§"/>
      <w:lvlJc w:val="left"/>
      <w:pPr>
        <w:ind w:left="5017" w:hanging="360"/>
      </w:pPr>
      <w:rPr>
        <w:rFonts w:ascii="Wingdings" w:eastAsia="Wingdings" w:hAnsi="Wingdings" w:cs="Wingdings" w:hint="default"/>
      </w:rPr>
    </w:lvl>
    <w:lvl w:ilvl="6" w:tplc="BB74045A">
      <w:start w:val="1"/>
      <w:numFmt w:val="bullet"/>
      <w:lvlText w:val="·"/>
      <w:lvlJc w:val="left"/>
      <w:pPr>
        <w:ind w:left="5737" w:hanging="360"/>
      </w:pPr>
      <w:rPr>
        <w:rFonts w:ascii="Symbol" w:eastAsia="Symbol" w:hAnsi="Symbol" w:cs="Symbol" w:hint="default"/>
      </w:rPr>
    </w:lvl>
    <w:lvl w:ilvl="7" w:tplc="6C78A3E4">
      <w:start w:val="1"/>
      <w:numFmt w:val="bullet"/>
      <w:lvlText w:val="o"/>
      <w:lvlJc w:val="left"/>
      <w:pPr>
        <w:ind w:left="6457" w:hanging="360"/>
      </w:pPr>
      <w:rPr>
        <w:rFonts w:ascii="Courier New" w:eastAsia="Courier New" w:hAnsi="Courier New" w:cs="Courier New" w:hint="default"/>
      </w:rPr>
    </w:lvl>
    <w:lvl w:ilvl="8" w:tplc="FEE8BF78">
      <w:start w:val="1"/>
      <w:numFmt w:val="bullet"/>
      <w:lvlText w:val="§"/>
      <w:lvlJc w:val="left"/>
      <w:pPr>
        <w:ind w:left="7177" w:hanging="360"/>
      </w:pPr>
      <w:rPr>
        <w:rFonts w:ascii="Wingdings" w:eastAsia="Wingdings" w:hAnsi="Wingdings" w:cs="Wingdings" w:hint="default"/>
      </w:rPr>
    </w:lvl>
  </w:abstractNum>
  <w:num w:numId="1" w16cid:durableId="737754587">
    <w:abstractNumId w:val="1"/>
  </w:num>
  <w:num w:numId="2" w16cid:durableId="1047950560">
    <w:abstractNumId w:val="3"/>
  </w:num>
  <w:num w:numId="3" w16cid:durableId="1306621007">
    <w:abstractNumId w:val="2"/>
  </w:num>
  <w:num w:numId="4" w16cid:durableId="888734379">
    <w:abstractNumId w:val="0"/>
  </w:num>
  <w:num w:numId="5" w16cid:durableId="774204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BB"/>
    <w:rsid w:val="000A7BF7"/>
    <w:rsid w:val="001F430B"/>
    <w:rsid w:val="0024015A"/>
    <w:rsid w:val="002777BE"/>
    <w:rsid w:val="002C3953"/>
    <w:rsid w:val="003B73E8"/>
    <w:rsid w:val="003D11BB"/>
    <w:rsid w:val="00681554"/>
    <w:rsid w:val="00792A36"/>
    <w:rsid w:val="00826AF1"/>
    <w:rsid w:val="00936B43"/>
    <w:rsid w:val="009C2E01"/>
    <w:rsid w:val="00C6367C"/>
    <w:rsid w:val="00F6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0ACD"/>
  <w15:docId w15:val="{0A05E7B9-3F81-4BED-88EE-F5CE62C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unhideWhenUsed/>
    <w:rPr>
      <w:color w:val="0563C1" w:themeColor="hyperlink"/>
      <w:u w:val="single"/>
    </w:rPr>
  </w:style>
  <w:style w:type="paragraph" w:styleId="af5">
    <w:name w:val="List Paragraph"/>
    <w:basedOn w:val="a"/>
    <w:uiPriority w:val="34"/>
    <w:qFormat/>
    <w:pPr>
      <w:ind w:left="720"/>
      <w:contextualSpacing/>
    </w:pPr>
  </w:style>
  <w:style w:type="character" w:styleId="af6">
    <w:name w:val="Unresolved Mention"/>
    <w:basedOn w:val="a0"/>
    <w:uiPriority w:val="99"/>
    <w:semiHidden/>
    <w:unhideWhenUsed/>
    <w:rPr>
      <w:color w:val="605E5C"/>
      <w:shd w:val="clear" w:color="auto" w:fill="E1DFDD"/>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paragraph" w:styleId="afc">
    <w:name w:val="Revision"/>
    <w:hidden/>
    <w:uiPriority w:val="99"/>
    <w:semiHidden/>
    <w:pPr>
      <w:spacing w:after="0" w:line="240" w:lineRule="auto"/>
    </w:pPr>
  </w:style>
  <w:style w:type="character" w:styleId="afd">
    <w:name w:val="FollowedHyperlink"/>
    <w:basedOn w:val="a0"/>
    <w:uiPriority w:val="99"/>
    <w:semiHidden/>
    <w:unhideWhenUsed/>
    <w:rPr>
      <w:color w:val="954F72" w:themeColor="followedHyperlink"/>
      <w:u w:val="single"/>
    </w:rPr>
  </w:style>
  <w:style w:type="paragraph" w:styleId="afe">
    <w:name w:val="annotation subject"/>
    <w:basedOn w:val="afa"/>
    <w:next w:val="afa"/>
    <w:link w:val="aff"/>
    <w:uiPriority w:val="99"/>
    <w:semiHidden/>
    <w:unhideWhenUsed/>
    <w:rPr>
      <w:b/>
      <w:bCs/>
    </w:rPr>
  </w:style>
  <w:style w:type="character" w:customStyle="1" w:styleId="aff">
    <w:name w:val="Тема примечания Знак"/>
    <w:basedOn w:val="afb"/>
    <w:link w:val="afe"/>
    <w:uiPriority w:val="99"/>
    <w:semiHidden/>
    <w:rPr>
      <w:b/>
      <w:bCs/>
      <w:sz w:val="20"/>
      <w:szCs w:val="20"/>
    </w:rPr>
  </w:style>
  <w:style w:type="paragraph" w:styleId="aff0">
    <w:name w:val="header"/>
    <w:basedOn w:val="a"/>
    <w:link w:val="aff1"/>
    <w:uiPriority w:val="99"/>
    <w:unhideWhenUsed/>
    <w:pPr>
      <w:tabs>
        <w:tab w:val="center" w:pos="4677"/>
        <w:tab w:val="right" w:pos="9355"/>
      </w:tabs>
      <w:spacing w:after="0" w:line="240" w:lineRule="auto"/>
    </w:pPr>
  </w:style>
  <w:style w:type="character" w:customStyle="1" w:styleId="aff1">
    <w:name w:val="Верхний колонтитул Знак"/>
    <w:basedOn w:val="a0"/>
    <w:link w:val="aff0"/>
    <w:uiPriority w:val="99"/>
  </w:style>
  <w:style w:type="paragraph" w:styleId="aff2">
    <w:name w:val="footer"/>
    <w:basedOn w:val="a"/>
    <w:link w:val="aff3"/>
    <w:uiPriority w:val="99"/>
    <w:unhideWhenUsed/>
    <w:pPr>
      <w:tabs>
        <w:tab w:val="center" w:pos="4677"/>
        <w:tab w:val="right" w:pos="9355"/>
      </w:tabs>
      <w:spacing w:after="0" w:line="240" w:lineRule="auto"/>
    </w:pPr>
  </w:style>
  <w:style w:type="character" w:customStyle="1" w:styleId="aff3">
    <w:name w:val="Нижний колонтитул Знак"/>
    <w:basedOn w:val="a0"/>
    <w:link w:val="aff2"/>
    <w:uiPriority w:val="99"/>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heme="minorEastAsia" w:hAnsi="Times New Roman" w:cs="Times New Roman"/>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ecnpf.ru" TargetMode="External"/><Relationship Id="rId13" Type="http://schemas.openxmlformats.org/officeDocument/2006/relationships/hyperlink" Target="mailto:info@napf.ru" TargetMode="External"/><Relationship Id="rId3" Type="http://schemas.openxmlformats.org/officeDocument/2006/relationships/settings" Target="settings.xml"/><Relationship Id="rId7" Type="http://schemas.openxmlformats.org/officeDocument/2006/relationships/hyperlink" Target="http://www.rostecnpf.ru" TargetMode="External"/><Relationship Id="rId12" Type="http://schemas.openxmlformats.org/officeDocument/2006/relationships/hyperlink" Target="http://www.nap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protection_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mailto:info@rostecnp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dc:creator>
  <cp:keywords/>
  <dc:description/>
  <cp:lastModifiedBy>Стюрева Наталья Александровна</cp:lastModifiedBy>
  <cp:revision>25</cp:revision>
  <dcterms:created xsi:type="dcterms:W3CDTF">2024-05-02T11:20:00Z</dcterms:created>
  <dcterms:modified xsi:type="dcterms:W3CDTF">2024-08-20T09:06:00Z</dcterms:modified>
</cp:coreProperties>
</file>